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8F4F19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8F4F19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8F4F19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8F4F19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8F4F19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D26E91" w:rsidRDefault="00D26E91" w:rsidP="00A54BD0">
      <w:pPr>
        <w:pStyle w:val="af2"/>
        <w:rPr>
          <w:rFonts w:ascii="Times New Roman" w:hAnsi="Times New Roman"/>
          <w:sz w:val="28"/>
          <w:szCs w:val="28"/>
        </w:rPr>
      </w:pPr>
      <w:r w:rsidRPr="00D26E91">
        <w:rPr>
          <w:rFonts w:ascii="Times New Roman" w:hAnsi="Times New Roman"/>
          <w:sz w:val="28"/>
          <w:szCs w:val="28"/>
        </w:rPr>
        <w:t>25.01.2021</w:t>
      </w:r>
      <w:r w:rsidRPr="00D26E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FD04F5" w:rsidRPr="008F4F19">
        <w:rPr>
          <w:rFonts w:ascii="Times New Roman" w:hAnsi="Times New Roman"/>
          <w:sz w:val="28"/>
          <w:szCs w:val="28"/>
          <w:lang w:val="uk-UA"/>
        </w:rPr>
        <w:tab/>
      </w:r>
      <w:r w:rsidR="001E625A" w:rsidRPr="008F4F1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F4F19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8F4F19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F4F19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8F4F19">
        <w:rPr>
          <w:rFonts w:ascii="Times New Roman" w:hAnsi="Times New Roman"/>
          <w:sz w:val="28"/>
          <w:szCs w:val="28"/>
          <w:lang w:val="uk-UA"/>
        </w:rPr>
        <w:tab/>
      </w:r>
      <w:r w:rsidR="00BF3489" w:rsidRPr="008F4F19">
        <w:rPr>
          <w:rFonts w:ascii="Times New Roman" w:hAnsi="Times New Roman"/>
          <w:sz w:val="28"/>
          <w:szCs w:val="28"/>
          <w:lang w:val="uk-UA"/>
        </w:rPr>
        <w:tab/>
      </w:r>
      <w:r w:rsidR="00BF3489" w:rsidRPr="008F4F19">
        <w:rPr>
          <w:rFonts w:ascii="Times New Roman" w:hAnsi="Times New Roman"/>
          <w:sz w:val="28"/>
          <w:szCs w:val="28"/>
          <w:lang w:val="uk-UA"/>
        </w:rPr>
        <w:tab/>
      </w:r>
      <w:r w:rsidR="00BF3489" w:rsidRPr="008F4F19">
        <w:rPr>
          <w:rFonts w:ascii="Times New Roman" w:hAnsi="Times New Roman"/>
          <w:sz w:val="28"/>
          <w:szCs w:val="28"/>
          <w:lang w:val="uk-UA"/>
        </w:rPr>
        <w:tab/>
      </w:r>
      <w:r w:rsidR="001E625A" w:rsidRPr="008F4F1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8F4F19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6E91">
        <w:rPr>
          <w:rFonts w:ascii="Times New Roman" w:hAnsi="Times New Roman"/>
          <w:sz w:val="28"/>
          <w:szCs w:val="28"/>
        </w:rPr>
        <w:t>69</w:t>
      </w:r>
    </w:p>
    <w:p w:rsidR="008C5AA2" w:rsidRPr="008F4F19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3D5443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внесення змін та доповнень до розпорядження від 02.10.2020 № 504 «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 xml:space="preserve">стоматологічна поліклініка» на </w:t>
      </w:r>
      <w:r>
        <w:rPr>
          <w:rFonts w:ascii="Times New Roman" w:hAnsi="Times New Roman"/>
          <w:b/>
          <w:sz w:val="28"/>
          <w:szCs w:val="28"/>
          <w:lang w:val="uk-UA"/>
        </w:rPr>
        <w:t>2021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D5443" w:rsidRPr="008F4F19" w:rsidRDefault="003D5443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8F4F19" w:rsidRDefault="0055520D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4F19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</w:t>
      </w:r>
      <w:r w:rsidR="003D5443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8F4F19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8A0D01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Закону України «Основи законодавства України про охорону</w:t>
      </w:r>
      <w:r w:rsidR="008A0D01" w:rsidRPr="008F4F19">
        <w:rPr>
          <w:rFonts w:ascii="Times New Roman" w:hAnsi="Times New Roman"/>
          <w:sz w:val="28"/>
          <w:szCs w:val="28"/>
          <w:lang w:val="uk-UA"/>
        </w:rPr>
        <w:t xml:space="preserve"> здоров'я» від 19.11.1992 № 2802</w:t>
      </w:r>
      <w:r w:rsidRPr="008F4F19">
        <w:rPr>
          <w:rFonts w:ascii="Times New Roman" w:hAnsi="Times New Roman"/>
          <w:sz w:val="28"/>
          <w:szCs w:val="28"/>
          <w:lang w:val="uk-UA"/>
        </w:rPr>
        <w:t xml:space="preserve">-XII, статтею 3 Закону України «Про державні фінансові гарантії медичного обслуговування населення» від 19.10.2017 № 2168-VIII, </w:t>
      </w:r>
      <w:r w:rsidR="003D5443">
        <w:rPr>
          <w:rFonts w:ascii="Times New Roman" w:hAnsi="Times New Roman"/>
          <w:sz w:val="28"/>
          <w:szCs w:val="28"/>
          <w:lang w:val="uk-UA"/>
        </w:rPr>
        <w:t>підпунктом 3 пункту 1 статті 89</w:t>
      </w:r>
      <w:r w:rsidR="003D5443"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</w:t>
      </w:r>
      <w:r w:rsidR="003D5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443" w:rsidRPr="00044230">
        <w:rPr>
          <w:rFonts w:ascii="Times New Roman" w:hAnsi="Times New Roman"/>
          <w:sz w:val="28"/>
          <w:szCs w:val="28"/>
          <w:lang w:val="uk-UA"/>
        </w:rPr>
        <w:t>2456-VІ</w:t>
      </w:r>
      <w:r w:rsidRPr="008F4F19">
        <w:rPr>
          <w:rFonts w:ascii="Times New Roman" w:hAnsi="Times New Roman"/>
          <w:sz w:val="28"/>
          <w:szCs w:val="28"/>
          <w:lang w:val="uk-UA"/>
        </w:rPr>
        <w:t>, розпорядженням КМУ «Про схвалення Концепції реформи фінансування системи охорони здоров’я» від 30.11.2016 № 1013-р</w:t>
      </w:r>
    </w:p>
    <w:p w:rsidR="00A413EC" w:rsidRPr="008F4F19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8F4F19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8F4F19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54BD0" w:rsidRPr="003D5443" w:rsidRDefault="003D5443" w:rsidP="005946CE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та доповнення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594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DBE" w:rsidRPr="008F4F19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«</w:t>
      </w:r>
      <w:r w:rsidR="00016E3B" w:rsidRPr="008F4F19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6CE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рік»</w:t>
      </w:r>
      <w:r w:rsidR="005946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Pr="0004423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A54BD0" w:rsidRPr="003D5443" w:rsidRDefault="00B64A24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4F19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здоров’я</w:t>
      </w:r>
      <w:r w:rsidR="00016E3B" w:rsidRPr="008F4F19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3D5443" w:rsidRDefault="00AC32C2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4F19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5946CE" w:rsidRPr="00C317AA" w:rsidRDefault="00C317AA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</w:t>
      </w:r>
      <w:r w:rsidRPr="00044230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Максима </w:t>
      </w:r>
      <w:proofErr w:type="spellStart"/>
      <w:r w:rsidR="00DC01C2">
        <w:rPr>
          <w:rFonts w:ascii="Times New Roman" w:hAnsi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D5443" w:rsidRPr="008062FE" w:rsidRDefault="003D5443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</w:p>
    <w:p w:rsidR="003D5443" w:rsidRPr="00044230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3D5443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міста Лисичанськ</w:t>
      </w:r>
    </w:p>
    <w:p w:rsidR="00EC7449" w:rsidRPr="008062FE" w:rsidRDefault="003D5443" w:rsidP="00A54BD0">
      <w:pPr>
        <w:pStyle w:val="af2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Луганської області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8F4F19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092248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92248" w:rsidRPr="00092248">
        <w:rPr>
          <w:rFonts w:ascii="Times New Roman" w:hAnsi="Times New Roman"/>
          <w:sz w:val="26"/>
          <w:szCs w:val="26"/>
          <w:lang w:val="uk-UA"/>
        </w:rPr>
        <w:t>25.01.</w:t>
      </w:r>
      <w:r w:rsidR="00092248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92248" w:rsidRPr="00092248">
        <w:rPr>
          <w:rFonts w:ascii="Times New Roman" w:hAnsi="Times New Roman"/>
          <w:sz w:val="26"/>
          <w:szCs w:val="26"/>
          <w:lang w:val="uk-UA"/>
        </w:rPr>
        <w:t xml:space="preserve"> 69</w:t>
      </w:r>
    </w:p>
    <w:p w:rsidR="00FD2C7A" w:rsidRPr="008F4F19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8F4F19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8F4F19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8F4F19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«</w:t>
      </w:r>
      <w:r w:rsidR="009751F1" w:rsidRPr="008F4F19">
        <w:rPr>
          <w:rFonts w:ascii="Times New Roman" w:hAnsi="Times New Roman"/>
          <w:b/>
          <w:sz w:val="26"/>
          <w:szCs w:val="26"/>
          <w:lang w:val="uk-UA"/>
        </w:rPr>
        <w:t>Міська стоматологічна поліклініка</w:t>
      </w:r>
      <w:r w:rsidR="00E40876" w:rsidRPr="008F4F19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946CE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8F4F19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D26E91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51F1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D26E91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55520D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військово-цивільні адміністрації», Закону України «Основи законодавства України про охорону здоров'я», Закон України «Про державні фінансові гарантії медичного обслуговування населення», Бюджетний кодекс України</w:t>
            </w:r>
            <w:r w:rsidR="003D5443">
              <w:rPr>
                <w:rFonts w:ascii="Times New Roman" w:hAnsi="Times New Roman"/>
                <w:sz w:val="26"/>
                <w:szCs w:val="26"/>
                <w:lang w:val="uk-UA"/>
              </w:rPr>
              <w:t>, розпорядження</w:t>
            </w:r>
            <w:r w:rsidR="003D5443" w:rsidRPr="003D54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D26E91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8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Pr="008F4F19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  <w:r w:rsidR="007C30F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F4F19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5946CE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8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8F4F19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BA66D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BA66D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BA66DA" w:rsidRDefault="00DC01C2" w:rsidP="00DC01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904</w:t>
            </w:r>
            <w:r w:rsidR="00B65E92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623</w:t>
            </w:r>
          </w:p>
        </w:tc>
      </w:tr>
    </w:tbl>
    <w:p w:rsidR="00A54BD0" w:rsidRPr="008F4F19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8F4F19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E625A" w:rsidRPr="008F4F19" w:rsidRDefault="009751F1" w:rsidP="001E625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lang w:val="uk-UA"/>
        </w:rPr>
        <w:tab/>
      </w:r>
      <w:r w:rsidRPr="008F4F19">
        <w:rPr>
          <w:rFonts w:ascii="Times New Roman" w:hAnsi="Times New Roman"/>
          <w:sz w:val="26"/>
          <w:szCs w:val="26"/>
          <w:lang w:val="uk-UA"/>
        </w:rPr>
        <w:t>Одним із пріоритетів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 охороні здоров’я населення визначено на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>дання стоматологічної допомоги.</w:t>
      </w:r>
    </w:p>
    <w:p w:rsidR="001E625A" w:rsidRPr="008F4F19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У КНП «Міська стоматологічна поліклініка» проводиться реалізація заходів спрямованих на підвищення якості та ефективності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надання медичних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стоматологічних послуг, наближення кваліфікованої стоматологічної допомоги до кожного мешканця, поліпшення стоматологічного обслуговування населення, раціонального використання ресурсів охорони здоров'я. </w:t>
      </w:r>
    </w:p>
    <w:p w:rsidR="001E625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Стоматологічна допомога є на сьогодні частиною спеціалізованої амбулаторної допомоги, тому управління стоматологічною допомогою без застосування економічних важелів практично неможливе.</w:t>
      </w:r>
    </w:p>
    <w:p w:rsidR="003D5443" w:rsidRPr="003D5443" w:rsidRDefault="003D5443" w:rsidP="003D5443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D5443" w:rsidRPr="008F4F19" w:rsidRDefault="003D5443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751F1" w:rsidRPr="008F4F19" w:rsidRDefault="009751F1" w:rsidP="003D544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</w:t>
      </w:r>
      <w:r w:rsidR="003D544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1E625A" w:rsidRPr="007C30FB" w:rsidRDefault="009751F1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Комунальне некомерційне підприємство Лисичанської міської ради Луганської області «Міська стоматологічна поліклініка» (далі - Підприємство) створено за</w:t>
      </w:r>
      <w:r w:rsidR="007C30F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рішенням Лисичанської міської ради </w:t>
      </w:r>
      <w:r w:rsidRPr="008F4F19">
        <w:rPr>
          <w:rFonts w:ascii="Times New Roman" w:hAnsi="Times New Roman"/>
          <w:spacing w:val="12"/>
          <w:sz w:val="26"/>
          <w:szCs w:val="26"/>
          <w:lang w:val="uk-UA"/>
        </w:rPr>
        <w:t>від 23.01.2</w:t>
      </w:r>
      <w:r w:rsidR="0055520D" w:rsidRPr="008F4F19">
        <w:rPr>
          <w:rFonts w:ascii="Times New Roman" w:hAnsi="Times New Roman"/>
          <w:spacing w:val="12"/>
          <w:sz w:val="26"/>
          <w:szCs w:val="26"/>
          <w:lang w:val="uk-UA"/>
        </w:rPr>
        <w:t xml:space="preserve">020 №83/1190 «Про організаційні </w:t>
      </w:r>
      <w:r w:rsidRPr="008F4F19">
        <w:rPr>
          <w:rFonts w:ascii="Times New Roman" w:hAnsi="Times New Roman"/>
          <w:spacing w:val="12"/>
          <w:sz w:val="26"/>
          <w:szCs w:val="26"/>
          <w:lang w:val="uk-UA"/>
        </w:rPr>
        <w:t xml:space="preserve">заходи з питань діяльності КНП «Міська стоматологічна поліклініка» </w:t>
      </w:r>
      <w:r w:rsidRPr="008F4F19">
        <w:rPr>
          <w:rFonts w:ascii="Times New Roman" w:hAnsi="Times New Roman"/>
          <w:sz w:val="26"/>
          <w:szCs w:val="26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правонаступником зазначеного комунального закладу, а також до Закону України «Про державну реєстрацію юридичних осіб та фізичних ос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іб-підприємців» від 29.01.2020. </w:t>
      </w:r>
      <w:r w:rsidRPr="008F4F19">
        <w:rPr>
          <w:rFonts w:ascii="Times New Roman" w:hAnsi="Times New Roman"/>
          <w:sz w:val="26"/>
          <w:szCs w:val="26"/>
          <w:lang w:val="uk-UA"/>
        </w:rPr>
        <w:t>Підприємство є самостійним господарюючим суб’єктом із статусом комунального некомерційного підприємства та наділено усіма правами юридичної особи.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Підприємство має самостійний баланс,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ові рахунки в установах банку. </w:t>
      </w:r>
      <w:r w:rsidRPr="008F4F19">
        <w:rPr>
          <w:rFonts w:ascii="Times New Roman" w:hAnsi="Times New Roman"/>
          <w:sz w:val="26"/>
          <w:szCs w:val="26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програм у сфері охорони здоров’я.</w:t>
      </w:r>
    </w:p>
    <w:p w:rsidR="001E625A" w:rsidRPr="008F4F19" w:rsidRDefault="0055520D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 розроблена на підставі Закону України «Про військово-цивільні адміністрації» від 03.02.2015 №141-VIII, Законів України «Основи законодавства України про охорону здоров'я» від 19.11.1992 № 2801-XII, «Про державні фінансові гарантії медичного обслуговування населення» від 19.10.2017 № 2168-VIII, Бюджетним кодексом України від 08.07.2010 №2456-VІ, розпорядженням КМУ «Про схвалення Концепції реформи фінансування системи охорони здоров’я» від 30.11.2016 № 1013-р та інших нормативно-правових актів.</w:t>
      </w:r>
    </w:p>
    <w:p w:rsidR="00A54BD0" w:rsidRPr="008F4F19" w:rsidRDefault="00A54BD0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>спеціалізованої вторинної медичної допомоги, а саме</w:t>
      </w:r>
      <w:r w:rsidR="001E625A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стоматологічної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8F4F19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8F4F19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8F4F19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8F4F19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8F4F19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8F4F19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446507" w:rsidRDefault="00446507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6D60" w:rsidRPr="00092248" w:rsidRDefault="00376D60" w:rsidP="00E96861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76D60" w:rsidRPr="00092248" w:rsidRDefault="00376D60" w:rsidP="00092248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46507" w:rsidRPr="008F4F19" w:rsidRDefault="00446507" w:rsidP="00446507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Pr="008F4F19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Програма, шляхи та способи їх розв’язання</w:t>
      </w:r>
    </w:p>
    <w:p w:rsidR="007C30FB" w:rsidRPr="008F4F19" w:rsidRDefault="00446507" w:rsidP="00376D6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Стоматологічне здоров’я населення починається з профілактики захворювань порожнини рота та формування у людини здорового образу життя.</w:t>
      </w:r>
    </w:p>
    <w:p w:rsidR="00446507" w:rsidRPr="008F4F19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Існуючі проблеми в стоматологічній галузі торкаються не тільки взаємовідносин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446507" w:rsidRPr="008F4F19" w:rsidRDefault="00446507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Реформи, які проводяться у сфері охорони здоров’я, торкають і стоматологічну поліклініку м. Лисичанськ. Насамперед потрібно значно підняти рівень матеріально-технічного оснащення лікувального та діагностичного процесу, забезпечити сучасними стоматологічними матеріалами та обладна</w:t>
      </w:r>
      <w:r w:rsidR="007C30FB">
        <w:rPr>
          <w:rFonts w:ascii="Times New Roman" w:hAnsi="Times New Roman"/>
          <w:sz w:val="26"/>
          <w:szCs w:val="26"/>
          <w:lang w:val="uk-UA"/>
        </w:rPr>
        <w:t xml:space="preserve">нням, створити істотні умови як </w:t>
      </w:r>
      <w:r w:rsidRPr="008F4F19">
        <w:rPr>
          <w:rFonts w:ascii="Times New Roman" w:hAnsi="Times New Roman"/>
          <w:sz w:val="26"/>
          <w:szCs w:val="26"/>
          <w:lang w:val="uk-UA"/>
        </w:rPr>
        <w:t>для медичного персоналу, так і для пацієнтів, впровадити сучасні інформаційно-технічні засоби для поліпшення надання стоматологічної допомоги населенню.</w:t>
      </w:r>
      <w:r w:rsidRPr="008F4F19">
        <w:rPr>
          <w:sz w:val="26"/>
          <w:szCs w:val="26"/>
          <w:lang w:val="uk-UA"/>
        </w:rPr>
        <w:t xml:space="preserve"> </w:t>
      </w:r>
    </w:p>
    <w:p w:rsidR="00446507" w:rsidRPr="008F4F19" w:rsidRDefault="00446507" w:rsidP="00446507">
      <w:pPr>
        <w:ind w:left="709"/>
        <w:jc w:val="both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Основними шляхами розв’язання проблем є: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насамперед пріоритетний підхід до проблем дитячої стоматології;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найскоріший перехід до сучасних методів обробки інформації щодо діяльності стоматологічної поліклініки;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впровадження сучасних цифрових технологій в діагностичному лікувально-профілактичному процесі;</w:t>
      </w:r>
    </w:p>
    <w:p w:rsidR="00446507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підвищення фаховості, кадрового забезпечення, рівня професіональної підготовки медичного персоналу стоматологічної поліклініки;</w:t>
      </w:r>
    </w:p>
    <w:p w:rsidR="00376D60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044230">
        <w:rPr>
          <w:sz w:val="26"/>
          <w:szCs w:val="26"/>
          <w:lang w:val="uk-UA"/>
        </w:rPr>
        <w:t xml:space="preserve">здійснення заходів матеріального стимулювання медичних та інших працівників (преміювання, надання матеріальної допомоги на оздоровлення, виплата надбавок за складність та напруженість в роботі </w:t>
      </w:r>
      <w:r>
        <w:rPr>
          <w:sz w:val="26"/>
          <w:szCs w:val="26"/>
          <w:lang w:val="uk-UA"/>
        </w:rPr>
        <w:t>тощо);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шкільних учбових закладах;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щільне дотримання санітарно-гігієнічних та </w:t>
      </w:r>
      <w:proofErr w:type="spellStart"/>
      <w:r w:rsidRPr="008F4F19">
        <w:rPr>
          <w:sz w:val="26"/>
          <w:szCs w:val="26"/>
          <w:lang w:val="uk-UA"/>
        </w:rPr>
        <w:t>противоепідемічних</w:t>
      </w:r>
      <w:proofErr w:type="spellEnd"/>
      <w:r w:rsidRPr="008F4F19">
        <w:rPr>
          <w:sz w:val="26"/>
          <w:szCs w:val="26"/>
          <w:lang w:val="uk-UA"/>
        </w:rPr>
        <w:t xml:space="preserve"> норм та правил;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соціального захисту працівників стоматологічної поліклініки;</w:t>
      </w:r>
    </w:p>
    <w:p w:rsidR="00446507" w:rsidRPr="008F4F19" w:rsidRDefault="00446507" w:rsidP="00D9008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інформації.</w:t>
      </w:r>
    </w:p>
    <w:p w:rsidR="00A54BD0" w:rsidRPr="008F4F19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8F4F19" w:rsidRDefault="00446507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1E625A" w:rsidRPr="008F4F19" w:rsidRDefault="001E625A" w:rsidP="001E625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Мета Програми полягає у досягненні максимального забезпечення медичних стоматологічних послуг та надання висококваліфікованої спеціалізованої стоматологічної допомоги, яка спрямована на збереження, поліпшення та відновлення здоров’я, консультативно-діагностичної допомоги хворим, включаючи широкий спектр профілактичних і лікувальних заходів. </w:t>
      </w:r>
    </w:p>
    <w:p w:rsidR="001E625A" w:rsidRPr="008F4F19" w:rsidRDefault="001E625A" w:rsidP="001E6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Відповідно до поставленої мети завданням діяльності є: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медичної практики;</w:t>
      </w:r>
    </w:p>
    <w:p w:rsid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надання терапевтичної, хірургічної, </w:t>
      </w:r>
      <w:proofErr w:type="spellStart"/>
      <w:r w:rsidRPr="008F4F19">
        <w:rPr>
          <w:sz w:val="26"/>
          <w:szCs w:val="26"/>
          <w:lang w:val="uk-UA"/>
        </w:rPr>
        <w:t>ортодонтичної</w:t>
      </w:r>
      <w:proofErr w:type="spellEnd"/>
      <w:r w:rsidRPr="008F4F19">
        <w:rPr>
          <w:sz w:val="26"/>
          <w:szCs w:val="26"/>
          <w:lang w:val="uk-UA"/>
        </w:rPr>
        <w:t>, ортопедичної стоматологічної допомоги дорослому та дитячому населенню;</w:t>
      </w:r>
    </w:p>
    <w:p w:rsidR="00376D60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US"/>
        </w:rPr>
      </w:pPr>
    </w:p>
    <w:p w:rsidR="00092248" w:rsidRPr="00092248" w:rsidRDefault="00092248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US"/>
        </w:rPr>
      </w:pPr>
    </w:p>
    <w:p w:rsidR="00376D60" w:rsidRPr="00376D60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376D60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1E625A" w:rsidRPr="008F4F19" w:rsidRDefault="001E625A" w:rsidP="001E625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екстреної стоматологічної допомоги, необхідної профілактики, діагностики та лікування зубів згідно чинного законодавства України;</w:t>
      </w:r>
    </w:p>
    <w:p w:rsidR="007C30FB" w:rsidRPr="00376D60" w:rsidRDefault="001E625A" w:rsidP="007C30FB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впровадження в практику сучасних методів діагностики та лікування, застосування новітньої медичної техніки і медичного обладнання, лікарських засобів;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своєчасної госпіталізації хворих, які потребують стаціонарного лікування;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якісної експертизи тимчасової непрацездатності хворих, видача листків непрацездатності, направлення на МСЕК пацієнтів з ознаками стійкої втрати працездатності;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8F4F19">
        <w:rPr>
          <w:sz w:val="26"/>
          <w:szCs w:val="26"/>
          <w:lang w:val="uk-UA"/>
        </w:rPr>
        <w:t>освітньо-роз’яснювальної</w:t>
      </w:r>
      <w:proofErr w:type="spellEnd"/>
      <w:r w:rsidRPr="008F4F19">
        <w:rPr>
          <w:sz w:val="26"/>
          <w:szCs w:val="26"/>
          <w:lang w:val="uk-UA"/>
        </w:rPr>
        <w:t xml:space="preserve"> роботи серед населення, щодо формування здорового способу життя та здійснення заходів з профілактики стоматологічних захворювань;</w:t>
      </w:r>
    </w:p>
    <w:p w:rsidR="00D9008A" w:rsidRPr="007C30FB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пацієнтів до цих закладів в порядку, встановленому законодавством;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забезпечення права громадян на вільний вибір лікаря, у визначеному законодавством порядку;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закупівля, зберігання та використання ресурсів, необхідних для надання стоматологічних медичних послуг, зокрема медичних стоматологічних засобів, обладнання та інвентарю;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забезпечення лікарів медичною інформаційною системою та під’єднанням до Інтернет-мережі, забезпечення можливості надання </w:t>
      </w:r>
      <w:proofErr w:type="spellStart"/>
      <w:r w:rsidRPr="008F4F19">
        <w:rPr>
          <w:sz w:val="26"/>
          <w:szCs w:val="26"/>
          <w:lang w:val="uk-UA"/>
        </w:rPr>
        <w:t>телемедичних</w:t>
      </w:r>
      <w:proofErr w:type="spellEnd"/>
      <w:r w:rsidRPr="008F4F19">
        <w:rPr>
          <w:sz w:val="26"/>
          <w:szCs w:val="26"/>
          <w:lang w:val="uk-UA"/>
        </w:rPr>
        <w:t xml:space="preserve"> послуг.</w:t>
      </w:r>
    </w:p>
    <w:p w:rsidR="00915347" w:rsidRPr="008F4F19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8F4F19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Реалізація завдань вимагає об’єднання зусиль військово-цивільної адміністрації міста Лисичанськ Луганської області, керівників підприємств, установ, організацій, що здійснюють діяльність на території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міст Лисичанська, </w:t>
      </w:r>
      <w:proofErr w:type="spellStart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 Привілля,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  шляхом реалізації наступних заходів: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підвищення мотивації праці медичних працівників, забезпечення виплати заробітної плати та нарахувань на неї в повному обсязі;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придбання предметів, матеріалів для потреб підприємства; </w:t>
      </w:r>
    </w:p>
    <w:p w:rsidR="00D9008A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оплати послуг, в тому числі комунальних послуг та енергоносіїв; </w:t>
      </w:r>
    </w:p>
    <w:p w:rsidR="00376D60" w:rsidRPr="00376D60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8F4F19" w:rsidRDefault="00376D60" w:rsidP="00376D6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30FB" w:rsidRPr="00376D60" w:rsidRDefault="00D9008A" w:rsidP="00376D60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удосконалення матеріально-технічної бази підприємства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здоров’я, а саме оснащення структурних підрозділів закладу медичною апаратурою, обладнанням та інструментарієм відповідно до табеля оснащення.</w:t>
      </w:r>
    </w:p>
    <w:p w:rsidR="007C30FB" w:rsidRPr="008F4F19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8F4F19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8F4F19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8F4F19">
        <w:rPr>
          <w:rFonts w:ascii="Times New Roman" w:hAnsi="Times New Roman"/>
          <w:sz w:val="26"/>
          <w:szCs w:val="26"/>
          <w:lang w:val="uk-UA"/>
        </w:rPr>
        <w:t>включено до мережі головного розпорядника бюджетних коштів відділу охорони здоров’я військово-цивільної адміністрації міста Лисичанськ Луганської області та використовує виділені кошти згідно з планом використання.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Фінансова підтримка є безповоротною. </w:t>
      </w:r>
      <w:r w:rsidRPr="008F4F19">
        <w:rPr>
          <w:rFonts w:ascii="Times New Roman" w:hAnsi="Times New Roman"/>
          <w:color w:val="373737"/>
          <w:sz w:val="26"/>
          <w:szCs w:val="26"/>
          <w:lang w:val="uk-UA"/>
        </w:rPr>
        <w:t>Обсяги фінансування Програми шляхом нада</w:t>
      </w:r>
      <w:r w:rsidR="005946CE">
        <w:rPr>
          <w:rFonts w:ascii="Times New Roman" w:hAnsi="Times New Roman"/>
          <w:color w:val="373737"/>
          <w:sz w:val="26"/>
          <w:szCs w:val="26"/>
          <w:lang w:val="uk-UA"/>
        </w:rPr>
        <w:t>ння фінансової підтримки на 2021</w:t>
      </w:r>
      <w:r w:rsidRPr="008F4F19">
        <w:rPr>
          <w:rFonts w:ascii="Times New Roman" w:hAnsi="Times New Roman"/>
          <w:color w:val="373737"/>
          <w:sz w:val="26"/>
          <w:szCs w:val="26"/>
          <w:lang w:val="uk-UA"/>
        </w:rPr>
        <w:t xml:space="preserve"> рік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 наведені в планах заходів цієї Програми.</w:t>
      </w:r>
    </w:p>
    <w:p w:rsidR="00D9008A" w:rsidRPr="008F4F19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Pr="008F4F19" w:rsidRDefault="00D9008A" w:rsidP="00915347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8F4F19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915347" w:rsidRDefault="00915347" w:rsidP="0091534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Виконання заходів Програми сприятиме:</w:t>
      </w:r>
    </w:p>
    <w:p w:rsidR="00915347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створенню сучасної, якісної, доступної системи</w:t>
      </w:r>
      <w:r w:rsidR="00915347" w:rsidRPr="008F4F19">
        <w:rPr>
          <w:sz w:val="26"/>
          <w:szCs w:val="26"/>
          <w:lang w:val="uk-UA"/>
        </w:rPr>
        <w:t xml:space="preserve"> надання висококваліфікованої стоматологічної  допомоги;</w:t>
      </w:r>
    </w:p>
    <w:p w:rsidR="00446507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забезпеченню</w:t>
      </w:r>
      <w:r w:rsidR="00446507" w:rsidRPr="008F4F19">
        <w:rPr>
          <w:sz w:val="26"/>
          <w:szCs w:val="26"/>
          <w:lang w:val="uk-UA"/>
        </w:rPr>
        <w:t xml:space="preserve"> вчасного та безперебійного стоматологічного обслуговування населення;</w:t>
      </w:r>
    </w:p>
    <w:p w:rsidR="00915347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збільшенню доступності</w:t>
      </w:r>
      <w:r w:rsidR="00915347" w:rsidRPr="008F4F19">
        <w:rPr>
          <w:sz w:val="26"/>
          <w:szCs w:val="26"/>
          <w:lang w:val="uk-UA"/>
        </w:rPr>
        <w:t xml:space="preserve"> стоматологічної  допомоги, що надається лікарями-стоматологами, до всіх верст населення;</w:t>
      </w:r>
    </w:p>
    <w:p w:rsidR="00915347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запровадженню ефективної системи</w:t>
      </w:r>
      <w:r w:rsidR="00915347" w:rsidRPr="008F4F19">
        <w:rPr>
          <w:sz w:val="26"/>
          <w:szCs w:val="26"/>
          <w:lang w:val="uk-UA"/>
        </w:rPr>
        <w:t xml:space="preserve"> багатоканального фінансування на стоматологічну допомогу;</w:t>
      </w:r>
    </w:p>
    <w:p w:rsidR="00915347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покращенню якості</w:t>
      </w:r>
      <w:r w:rsidR="00915347" w:rsidRPr="008F4F19">
        <w:rPr>
          <w:sz w:val="26"/>
          <w:szCs w:val="26"/>
          <w:lang w:val="uk-UA"/>
        </w:rPr>
        <w:t xml:space="preserve"> профілактики та лікування стоматологічних захворювань у дитячого населення міста;</w:t>
      </w:r>
    </w:p>
    <w:p w:rsidR="00446507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досягненню</w:t>
      </w:r>
      <w:r w:rsidR="00915347" w:rsidRPr="008F4F19">
        <w:rPr>
          <w:sz w:val="26"/>
          <w:szCs w:val="26"/>
          <w:lang w:val="uk-UA"/>
        </w:rPr>
        <w:t xml:space="preserve"> мети щодо збереження надання високоякісних стоматологічних послуг;</w:t>
      </w:r>
    </w:p>
    <w:p w:rsidR="00376D60" w:rsidRPr="008F4F19" w:rsidRDefault="00376D60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044230">
        <w:rPr>
          <w:sz w:val="26"/>
          <w:szCs w:val="26"/>
          <w:lang w:val="uk-UA"/>
        </w:rPr>
        <w:t>забезпеченню своєчасності розрахунків та недопущення виникнення заборгованості Підприємства</w:t>
      </w:r>
      <w:r>
        <w:rPr>
          <w:sz w:val="26"/>
          <w:szCs w:val="26"/>
          <w:lang w:val="uk-UA"/>
        </w:rPr>
        <w:t>, в тому числі боргу по заробітній платі</w:t>
      </w:r>
      <w:r w:rsidRPr="00044230">
        <w:rPr>
          <w:sz w:val="26"/>
          <w:szCs w:val="26"/>
          <w:lang w:val="uk-UA"/>
        </w:rPr>
        <w:t>;</w:t>
      </w:r>
    </w:p>
    <w:p w:rsidR="00376D60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покращенню матеріально-технічної бази підприємства шляхом забезпечення амбулаторних та стаціонарних підрозділів  закладу медичною апаратурою,  обладнанням та інструментарієм відповідно до табеля оснащення затвердженого Наказом Міністерства охорони здоров’я України від 02.03.2011 № 127 «Про затвердження Примірних табелів оснащення медичною технікою та виробами </w:t>
      </w:r>
    </w:p>
    <w:p w:rsidR="00376D60" w:rsidRPr="00376D60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376D60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376D60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915347" w:rsidRPr="00376D60" w:rsidRDefault="00915347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  <w:r w:rsidRPr="00376D60">
        <w:rPr>
          <w:sz w:val="26"/>
          <w:szCs w:val="26"/>
          <w:lang w:val="uk-UA"/>
        </w:rPr>
        <w:t>медичного призначення центральної районної (районної) та центральної міської (міської) лікарень»;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КНП.</w:t>
      </w:r>
    </w:p>
    <w:p w:rsidR="007C30FB" w:rsidRPr="008F4F19" w:rsidRDefault="007C30FB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8F4F19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8F4F1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Pr="008F4F1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3B5609" w:rsidRPr="008F4F1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>«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«</w:t>
      </w:r>
      <w:r w:rsidR="003B5609" w:rsidRPr="008F4F19">
        <w:rPr>
          <w:rFonts w:ascii="Times New Roman" w:hAnsi="Times New Roman"/>
          <w:sz w:val="26"/>
          <w:szCs w:val="26"/>
          <w:lang w:val="uk-UA"/>
        </w:rPr>
        <w:t>Міська стоматологічна поліклініка</w:t>
      </w:r>
      <w:r w:rsidRPr="008F4F19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 w:rsidRPr="008F4F19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8F4F1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 w:rsidRPr="008F4F19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8F4F19">
        <w:rPr>
          <w:rFonts w:ascii="Times New Roman" w:hAnsi="Times New Roman"/>
          <w:sz w:val="26"/>
          <w:szCs w:val="26"/>
          <w:lang w:val="uk-UA"/>
        </w:rPr>
        <w:t>П</w:t>
      </w:r>
      <w:r w:rsidRPr="008F4F19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8F4F19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8F4F19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8F4F19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8F4F19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8F4F19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D9008A" w:rsidRPr="007C30FB" w:rsidRDefault="00A54BD0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8F4F19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8F4F19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8F4F19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8F4F19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137"/>
        <w:gridCol w:w="1728"/>
      </w:tblGrid>
      <w:tr w:rsidR="00E60BFA" w:rsidRPr="008F4F19" w:rsidTr="007645DE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D73600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="00E60BFA"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8F4F19" w:rsidTr="007645DE">
        <w:trPr>
          <w:trHeight w:val="20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7C30FB" w:rsidP="00BE44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E60BFA" w:rsidP="00376D6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5946CE" w:rsidP="004C23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7C30FB" w:rsidP="007C30F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BA66DA" w:rsidRDefault="00E60BFA" w:rsidP="00E60BFA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7C30FB" w:rsidRPr="00BA6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A6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,000</w:t>
            </w:r>
          </w:p>
        </w:tc>
      </w:tr>
    </w:tbl>
    <w:p w:rsidR="00376D60" w:rsidRPr="00376D60" w:rsidRDefault="007C30FB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A659B" w:rsidRDefault="002A659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10535" w:type="dxa"/>
        <w:tblInd w:w="-726" w:type="dxa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863"/>
        <w:gridCol w:w="1734"/>
      </w:tblGrid>
      <w:tr w:rsidR="002A659B" w:rsidRPr="007C30FB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2A659B" w:rsidRPr="007C30FB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DC01C2" w:rsidRDefault="00DC01C2" w:rsidP="006930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1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7C30FB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76-VIII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7C30FB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A659B" w:rsidRPr="007C30FB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2A659B" w:rsidRDefault="002A659B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59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CE1F01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7C30FB" w:rsidRDefault="002A659B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D73600" w:rsidRDefault="00B65E92" w:rsidP="002A659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696,991</w:t>
            </w:r>
          </w:p>
        </w:tc>
      </w:tr>
      <w:tr w:rsidR="002A659B" w:rsidRPr="007C30FB" w:rsidTr="007645DE">
        <w:trPr>
          <w:trHeight w:val="7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59B" w:rsidRPr="002A659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2A659B" w:rsidRDefault="002A659B" w:rsidP="002A659B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A6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тому числі:</w:t>
            </w:r>
          </w:p>
        </w:tc>
      </w:tr>
      <w:tr w:rsidR="00DC01C2" w:rsidRPr="007C30FB" w:rsidTr="00BD377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2A659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CE1F01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BA66D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6DA">
              <w:rPr>
                <w:rFonts w:ascii="Times New Roman" w:hAnsi="Times New Roman"/>
                <w:sz w:val="24"/>
                <w:szCs w:val="24"/>
                <w:lang w:val="uk-UA"/>
              </w:rPr>
              <w:t>422,306</w:t>
            </w:r>
          </w:p>
        </w:tc>
      </w:tr>
      <w:tr w:rsidR="00DC01C2" w:rsidRPr="007C30FB" w:rsidTr="00BD377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2A659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CE1F01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BA66D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17,013</w:t>
            </w:r>
          </w:p>
        </w:tc>
      </w:tr>
      <w:tr w:rsidR="00DC01C2" w:rsidRPr="007C30FB" w:rsidTr="001B2FD1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2A659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CE1F01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BA66D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236,736</w:t>
            </w:r>
          </w:p>
        </w:tc>
      </w:tr>
      <w:tr w:rsidR="00DC01C2" w:rsidRPr="007C30FB" w:rsidTr="00BA5196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2A659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CE1F01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BA66D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4,869</w:t>
            </w:r>
          </w:p>
        </w:tc>
      </w:tr>
      <w:tr w:rsidR="00DC01C2" w:rsidRPr="007C30FB" w:rsidTr="007A0EE6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1C2" w:rsidRPr="002A659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1C2" w:rsidRPr="00CE1F01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7C30FB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BA66D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16,067</w:t>
            </w:r>
          </w:p>
        </w:tc>
      </w:tr>
      <w:tr w:rsidR="002A659B" w:rsidRPr="007C30FB" w:rsidTr="00DC01C2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2A659B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A65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CE1F01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A65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2A659B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A65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CE1F01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2A659B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7,632</w:t>
            </w:r>
          </w:p>
        </w:tc>
      </w:tr>
      <w:tr w:rsidR="00D73600" w:rsidRPr="007C30FB" w:rsidTr="00DC01C2">
        <w:trPr>
          <w:trHeight w:val="70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E94EF8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DC01C2" w:rsidP="00E94EF8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904,623</w:t>
            </w:r>
          </w:p>
        </w:tc>
      </w:tr>
    </w:tbl>
    <w:p w:rsidR="00A83E0B" w:rsidRDefault="00A83E0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760FB9" w:rsidRDefault="00DC01C2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7645DE" w:rsidRPr="00DA1777" w:rsidRDefault="007645DE" w:rsidP="007645DE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5E35F" wp14:editId="08507F9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7169F4" id="Прямая соединительная линия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7645DE" w:rsidRPr="00DA1777" w:rsidRDefault="007645DE" w:rsidP="007645DE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72D57" wp14:editId="34030BD1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CC2D40" id="Прямая соединительная линия 1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92705" wp14:editId="528AD05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4A59A9" id="Прямая соединительная линия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7645DE" w:rsidRPr="00DA1777" w:rsidRDefault="007645DE" w:rsidP="007645DE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7645DE" w:rsidRPr="00DC01C2" w:rsidRDefault="007645DE" w:rsidP="007645DE">
      <w:pPr>
        <w:rPr>
          <w:sz w:val="28"/>
          <w:szCs w:val="28"/>
          <w:lang w:val="uk-UA" w:eastAsia="uk-UA"/>
        </w:rPr>
      </w:pPr>
    </w:p>
    <w:p w:rsidR="007645DE" w:rsidRDefault="007645DE" w:rsidP="007645DE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Погоджено:</w:t>
      </w:r>
    </w:p>
    <w:p w:rsidR="007645DE" w:rsidRPr="00DC01C2" w:rsidRDefault="007645DE" w:rsidP="007645DE">
      <w:pPr>
        <w:rPr>
          <w:sz w:val="28"/>
          <w:szCs w:val="28"/>
          <w:lang w:val="uk-UA" w:eastAsia="uk-UA"/>
        </w:rPr>
      </w:pPr>
    </w:p>
    <w:p w:rsidR="007645DE" w:rsidRPr="00F53FC9" w:rsidRDefault="00DC01C2" w:rsidP="007645DE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="007645DE" w:rsidRPr="00F53FC9">
        <w:rPr>
          <w:b/>
          <w:sz w:val="28"/>
          <w:szCs w:val="28"/>
          <w:lang w:val="uk-UA" w:eastAsia="uk-UA"/>
        </w:rPr>
        <w:t>аступник керівника військово-</w:t>
      </w:r>
    </w:p>
    <w:p w:rsidR="007645DE" w:rsidRDefault="007645DE" w:rsidP="007645DE">
      <w:pPr>
        <w:rPr>
          <w:b/>
          <w:sz w:val="28"/>
          <w:szCs w:val="28"/>
          <w:lang w:val="uk-UA" w:eastAsia="uk-UA"/>
        </w:rPr>
      </w:pPr>
      <w:r w:rsidRPr="00F53FC9">
        <w:rPr>
          <w:b/>
          <w:sz w:val="28"/>
          <w:szCs w:val="28"/>
          <w:lang w:val="uk-UA" w:eastAsia="uk-UA"/>
        </w:rPr>
        <w:t>цивільної адміністрації міста</w:t>
      </w:r>
      <w:r>
        <w:rPr>
          <w:b/>
          <w:sz w:val="28"/>
          <w:szCs w:val="28"/>
          <w:lang w:val="uk-UA" w:eastAsia="uk-UA"/>
        </w:rPr>
        <w:t xml:space="preserve"> Лисичанськ </w:t>
      </w:r>
    </w:p>
    <w:p w:rsidR="007645DE" w:rsidRPr="00F53FC9" w:rsidRDefault="007645DE" w:rsidP="007645DE">
      <w:pPr>
        <w:rPr>
          <w:b/>
          <w:sz w:val="28"/>
          <w:szCs w:val="28"/>
          <w:lang w:val="uk-UA" w:eastAsia="uk-UA"/>
        </w:rPr>
      </w:pP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BC662" wp14:editId="50367963">
                <wp:simplePos x="0" y="0"/>
                <wp:positionH relativeFrom="column">
                  <wp:posOffset>3152775</wp:posOffset>
                </wp:positionH>
                <wp:positionV relativeFrom="paragraph">
                  <wp:posOffset>180340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A36A2E" id="Прямая соединительная линия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4.2pt" to="31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B4wEAANgDAAAOAAAAZHJzL2Uyb0RvYy54bWysU82O0zAQviPxDpbvNGmlL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" strokecolor="black [3040]"/>
            </w:pict>
          </mc:Fallback>
        </mc:AlternateContent>
      </w: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DBB85C" wp14:editId="0C3C82C2">
                <wp:simplePos x="0" y="0"/>
                <wp:positionH relativeFrom="column">
                  <wp:posOffset>4110990</wp:posOffset>
                </wp:positionH>
                <wp:positionV relativeFrom="paragraph">
                  <wp:posOffset>191770</wp:posOffset>
                </wp:positionV>
                <wp:extent cx="1762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D5E722" id="Прямая соединительная линия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5.1pt" to="462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Kj4gEAANkDAAAOAAAAZHJzL2Uyb0RvYy54bWysU82O0zAQviPxDpbvNEklti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" strokecolor="black [3040]"/>
            </w:pict>
          </mc:Fallback>
        </mc:AlternateContent>
      </w:r>
      <w:r w:rsidRPr="00F53FC9">
        <w:rPr>
          <w:b/>
          <w:sz w:val="28"/>
          <w:szCs w:val="28"/>
          <w:lang w:val="uk-UA" w:eastAsia="uk-UA"/>
        </w:rPr>
        <w:t>Луганської області</w:t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="00DC01C2">
        <w:rPr>
          <w:b/>
          <w:sz w:val="28"/>
          <w:szCs w:val="28"/>
          <w:lang w:val="uk-UA" w:eastAsia="uk-UA"/>
        </w:rPr>
        <w:t xml:space="preserve">  Максим ГОЛОВНЬОВ</w:t>
      </w:r>
    </w:p>
    <w:p w:rsidR="007645DE" w:rsidRDefault="007645DE" w:rsidP="007645DE">
      <w:pPr>
        <w:ind w:left="4248" w:firstLine="708"/>
        <w:rPr>
          <w:sz w:val="28"/>
          <w:szCs w:val="28"/>
          <w:lang w:val="uk-UA" w:eastAsia="uk-UA"/>
        </w:rPr>
      </w:pPr>
      <w:r w:rsidRPr="007645DE">
        <w:rPr>
          <w:sz w:val="18"/>
          <w:szCs w:val="18"/>
          <w:lang w:val="uk-UA"/>
        </w:rPr>
        <w:t xml:space="preserve">      </w:t>
      </w:r>
      <w:r w:rsidR="00DC01C2">
        <w:rPr>
          <w:sz w:val="18"/>
          <w:szCs w:val="18"/>
          <w:lang w:val="uk-UA"/>
        </w:rPr>
        <w:t xml:space="preserve">     </w:t>
      </w:r>
      <w:r w:rsidRPr="007645DE">
        <w:rPr>
          <w:sz w:val="18"/>
          <w:szCs w:val="18"/>
          <w:lang w:val="uk-UA"/>
        </w:rPr>
        <w:t>(підпис)</w:t>
      </w:r>
      <w:r w:rsidRPr="007645DE">
        <w:rPr>
          <w:sz w:val="18"/>
          <w:szCs w:val="18"/>
          <w:lang w:val="uk-UA"/>
        </w:rPr>
        <w:tab/>
        <w:t xml:space="preserve">           (власне ім’я та прізвище)</w:t>
      </w: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C01C2" w:rsidRDefault="00DC01C2" w:rsidP="0094119B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  <w:bookmarkStart w:id="0" w:name="_GoBack"/>
      <w:bookmarkEnd w:id="0"/>
    </w:p>
    <w:sectPr w:rsidR="00DC01C2" w:rsidSect="007C30FB">
      <w:headerReference w:type="defaul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9A" w:rsidRDefault="00E94F9A" w:rsidP="006F1556">
      <w:r>
        <w:separator/>
      </w:r>
    </w:p>
  </w:endnote>
  <w:endnote w:type="continuationSeparator" w:id="0">
    <w:p w:rsidR="00E94F9A" w:rsidRDefault="00E94F9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9A" w:rsidRDefault="00E94F9A" w:rsidP="006F1556">
      <w:r>
        <w:separator/>
      </w:r>
    </w:p>
  </w:footnote>
  <w:footnote w:type="continuationSeparator" w:id="0">
    <w:p w:rsidR="00E94F9A" w:rsidRDefault="00E94F9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24C86"/>
    <w:rsid w:val="000320E7"/>
    <w:rsid w:val="00042F1D"/>
    <w:rsid w:val="000559C4"/>
    <w:rsid w:val="00057132"/>
    <w:rsid w:val="00060682"/>
    <w:rsid w:val="000775A5"/>
    <w:rsid w:val="000844C0"/>
    <w:rsid w:val="00086CD9"/>
    <w:rsid w:val="00092248"/>
    <w:rsid w:val="000B158A"/>
    <w:rsid w:val="000C47B1"/>
    <w:rsid w:val="000C5C80"/>
    <w:rsid w:val="000C6601"/>
    <w:rsid w:val="000D0690"/>
    <w:rsid w:val="000F5091"/>
    <w:rsid w:val="0011419B"/>
    <w:rsid w:val="00117108"/>
    <w:rsid w:val="00120FEC"/>
    <w:rsid w:val="0012646C"/>
    <w:rsid w:val="00130E34"/>
    <w:rsid w:val="00137A92"/>
    <w:rsid w:val="0014285D"/>
    <w:rsid w:val="0014757A"/>
    <w:rsid w:val="001523B4"/>
    <w:rsid w:val="00153067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D6D64"/>
    <w:rsid w:val="001E03E8"/>
    <w:rsid w:val="001E092D"/>
    <w:rsid w:val="001E4B8E"/>
    <w:rsid w:val="001E625A"/>
    <w:rsid w:val="001F49E6"/>
    <w:rsid w:val="00201E26"/>
    <w:rsid w:val="00221EE6"/>
    <w:rsid w:val="00237066"/>
    <w:rsid w:val="00245896"/>
    <w:rsid w:val="0026349C"/>
    <w:rsid w:val="00264166"/>
    <w:rsid w:val="002670E5"/>
    <w:rsid w:val="002734F7"/>
    <w:rsid w:val="0027536E"/>
    <w:rsid w:val="00277893"/>
    <w:rsid w:val="00282981"/>
    <w:rsid w:val="00294037"/>
    <w:rsid w:val="00297609"/>
    <w:rsid w:val="002A480F"/>
    <w:rsid w:val="002A659B"/>
    <w:rsid w:val="002B6D1A"/>
    <w:rsid w:val="002D2EC5"/>
    <w:rsid w:val="002D4AA4"/>
    <w:rsid w:val="002D51B5"/>
    <w:rsid w:val="002E6BC7"/>
    <w:rsid w:val="002E706B"/>
    <w:rsid w:val="0031257A"/>
    <w:rsid w:val="003157D2"/>
    <w:rsid w:val="00324E28"/>
    <w:rsid w:val="003421AE"/>
    <w:rsid w:val="003445AF"/>
    <w:rsid w:val="00350C95"/>
    <w:rsid w:val="00360945"/>
    <w:rsid w:val="00376D60"/>
    <w:rsid w:val="003841DB"/>
    <w:rsid w:val="00384F81"/>
    <w:rsid w:val="00391C59"/>
    <w:rsid w:val="003A073D"/>
    <w:rsid w:val="003B1E5D"/>
    <w:rsid w:val="003B5609"/>
    <w:rsid w:val="003B66A6"/>
    <w:rsid w:val="003C1268"/>
    <w:rsid w:val="003C318A"/>
    <w:rsid w:val="003D40D1"/>
    <w:rsid w:val="003D5443"/>
    <w:rsid w:val="003E1C1E"/>
    <w:rsid w:val="003F048C"/>
    <w:rsid w:val="0040155D"/>
    <w:rsid w:val="0042147E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C23AC"/>
    <w:rsid w:val="004C435B"/>
    <w:rsid w:val="004C4D9D"/>
    <w:rsid w:val="004D1C6B"/>
    <w:rsid w:val="004D431C"/>
    <w:rsid w:val="004E6A6F"/>
    <w:rsid w:val="005232BF"/>
    <w:rsid w:val="00541E13"/>
    <w:rsid w:val="0054364E"/>
    <w:rsid w:val="0055520D"/>
    <w:rsid w:val="005946CE"/>
    <w:rsid w:val="005A4F95"/>
    <w:rsid w:val="005A7025"/>
    <w:rsid w:val="005C6590"/>
    <w:rsid w:val="005C6DE5"/>
    <w:rsid w:val="005E6130"/>
    <w:rsid w:val="0060594B"/>
    <w:rsid w:val="00620D9C"/>
    <w:rsid w:val="00645527"/>
    <w:rsid w:val="00650DE9"/>
    <w:rsid w:val="00655C99"/>
    <w:rsid w:val="00667CE8"/>
    <w:rsid w:val="006C32BC"/>
    <w:rsid w:val="006E1F5E"/>
    <w:rsid w:val="006E7F90"/>
    <w:rsid w:val="006F1556"/>
    <w:rsid w:val="00706123"/>
    <w:rsid w:val="00710D80"/>
    <w:rsid w:val="00722337"/>
    <w:rsid w:val="0073059A"/>
    <w:rsid w:val="00740644"/>
    <w:rsid w:val="00740CBF"/>
    <w:rsid w:val="0074431A"/>
    <w:rsid w:val="007514D5"/>
    <w:rsid w:val="007518F0"/>
    <w:rsid w:val="00760FB9"/>
    <w:rsid w:val="00762FEE"/>
    <w:rsid w:val="007645DE"/>
    <w:rsid w:val="0077376C"/>
    <w:rsid w:val="00775059"/>
    <w:rsid w:val="00782DB2"/>
    <w:rsid w:val="00793218"/>
    <w:rsid w:val="0079417C"/>
    <w:rsid w:val="007C30FB"/>
    <w:rsid w:val="007D38A0"/>
    <w:rsid w:val="007E796D"/>
    <w:rsid w:val="007F618D"/>
    <w:rsid w:val="0080381C"/>
    <w:rsid w:val="008051DE"/>
    <w:rsid w:val="008062FE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0D01"/>
    <w:rsid w:val="008A2026"/>
    <w:rsid w:val="008C0234"/>
    <w:rsid w:val="008C0E6F"/>
    <w:rsid w:val="008C5AA2"/>
    <w:rsid w:val="008C750F"/>
    <w:rsid w:val="008D1E8D"/>
    <w:rsid w:val="008D73E2"/>
    <w:rsid w:val="008F4F19"/>
    <w:rsid w:val="008F77E2"/>
    <w:rsid w:val="00904DBE"/>
    <w:rsid w:val="00915347"/>
    <w:rsid w:val="0091639E"/>
    <w:rsid w:val="009173AB"/>
    <w:rsid w:val="0094119B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43EC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83E0B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60BD2"/>
    <w:rsid w:val="00B6451B"/>
    <w:rsid w:val="00B64A24"/>
    <w:rsid w:val="00B65E92"/>
    <w:rsid w:val="00B67165"/>
    <w:rsid w:val="00B753D9"/>
    <w:rsid w:val="00B85548"/>
    <w:rsid w:val="00B879E1"/>
    <w:rsid w:val="00B92F9C"/>
    <w:rsid w:val="00B95850"/>
    <w:rsid w:val="00BA66DA"/>
    <w:rsid w:val="00BB0C28"/>
    <w:rsid w:val="00BE2A41"/>
    <w:rsid w:val="00BE4406"/>
    <w:rsid w:val="00BE73E3"/>
    <w:rsid w:val="00BF1073"/>
    <w:rsid w:val="00BF3489"/>
    <w:rsid w:val="00BF5C42"/>
    <w:rsid w:val="00C07B6D"/>
    <w:rsid w:val="00C129AF"/>
    <w:rsid w:val="00C20364"/>
    <w:rsid w:val="00C22F8A"/>
    <w:rsid w:val="00C317AA"/>
    <w:rsid w:val="00C34E48"/>
    <w:rsid w:val="00C51AF4"/>
    <w:rsid w:val="00C57444"/>
    <w:rsid w:val="00C60DFD"/>
    <w:rsid w:val="00C617D1"/>
    <w:rsid w:val="00C82260"/>
    <w:rsid w:val="00C93C94"/>
    <w:rsid w:val="00CB280F"/>
    <w:rsid w:val="00CB747E"/>
    <w:rsid w:val="00CD457E"/>
    <w:rsid w:val="00CE1ACF"/>
    <w:rsid w:val="00CE4FF0"/>
    <w:rsid w:val="00CF375A"/>
    <w:rsid w:val="00CF6835"/>
    <w:rsid w:val="00D26E91"/>
    <w:rsid w:val="00D35638"/>
    <w:rsid w:val="00D4313E"/>
    <w:rsid w:val="00D465D4"/>
    <w:rsid w:val="00D546D2"/>
    <w:rsid w:val="00D5708F"/>
    <w:rsid w:val="00D65C1E"/>
    <w:rsid w:val="00D722C6"/>
    <w:rsid w:val="00D73600"/>
    <w:rsid w:val="00D750C1"/>
    <w:rsid w:val="00D760EB"/>
    <w:rsid w:val="00D82BD7"/>
    <w:rsid w:val="00D83AE2"/>
    <w:rsid w:val="00D9008A"/>
    <w:rsid w:val="00DA1AB0"/>
    <w:rsid w:val="00DA6EA9"/>
    <w:rsid w:val="00DC01C2"/>
    <w:rsid w:val="00DC01D2"/>
    <w:rsid w:val="00DC168B"/>
    <w:rsid w:val="00DC2F2B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60BFA"/>
    <w:rsid w:val="00E710DA"/>
    <w:rsid w:val="00E732EF"/>
    <w:rsid w:val="00E7646D"/>
    <w:rsid w:val="00E94F9A"/>
    <w:rsid w:val="00E96861"/>
    <w:rsid w:val="00EB2A72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65823"/>
    <w:rsid w:val="00F71F96"/>
    <w:rsid w:val="00F740E2"/>
    <w:rsid w:val="00F848F2"/>
    <w:rsid w:val="00F909D1"/>
    <w:rsid w:val="00F91691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DDD5-56EE-4C3A-84DB-6E66F83F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14</cp:revision>
  <cp:lastPrinted>2021-01-20T14:48:00Z</cp:lastPrinted>
  <dcterms:created xsi:type="dcterms:W3CDTF">2020-12-16T11:42:00Z</dcterms:created>
  <dcterms:modified xsi:type="dcterms:W3CDTF">2021-01-26T09:17:00Z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