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1E" w:rsidRPr="000C1E1E" w:rsidRDefault="000C1E1E" w:rsidP="000C1E1E">
      <w:pPr>
        <w:shd w:val="clear" w:color="auto" w:fill="FFFFFF"/>
        <w:spacing w:before="100" w:beforeAutospacing="1" w:after="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1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№ </w:t>
      </w:r>
      <w:r w:rsidR="002C5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bookmarkStart w:id="0" w:name="_GoBack"/>
      <w:bookmarkEnd w:id="0"/>
    </w:p>
    <w:p w:rsidR="000C1E1E" w:rsidRPr="000C1E1E" w:rsidRDefault="000C1E1E" w:rsidP="000C1E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C1E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Комплексні заходи щодо досягнення встановлених нормативів безпеки,</w:t>
      </w:r>
    </w:p>
    <w:p w:rsidR="000C1E1E" w:rsidRPr="000C1E1E" w:rsidRDefault="000C1E1E" w:rsidP="000C1E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C1E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гігієни праці та виробничого середовища, підвищення існуючого рівня охорони праці, запобігання випадкам виробничого травматизму, </w:t>
      </w:r>
    </w:p>
    <w:p w:rsidR="000C1E1E" w:rsidRPr="000C1E1E" w:rsidRDefault="000C1E1E" w:rsidP="000C1E1E">
      <w:pPr>
        <w:shd w:val="clear" w:color="auto" w:fill="FFFFFF"/>
        <w:spacing w:after="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C1E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професійних захворювань і аварій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128"/>
        <w:gridCol w:w="799"/>
        <w:gridCol w:w="798"/>
        <w:gridCol w:w="2528"/>
        <w:gridCol w:w="1196"/>
        <w:gridCol w:w="1464"/>
      </w:tblGrid>
      <w:tr w:rsidR="000C1E1E" w:rsidRPr="000C1E1E" w:rsidTr="00760E31">
        <w:trPr>
          <w:cantSplit/>
          <w:trHeight w:val="710"/>
        </w:trPr>
        <w:tc>
          <w:tcPr>
            <w:tcW w:w="633" w:type="dxa"/>
            <w:vMerge w:val="restart"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C1E1E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1E1E">
              <w:rPr>
                <w:rFonts w:ascii="Times New Roman" w:hAnsi="Times New Roman" w:cs="Times New Roman"/>
                <w:b/>
                <w:sz w:val="20"/>
                <w:lang w:val="uk-UA"/>
              </w:rPr>
              <w:t>з/п</w:t>
            </w:r>
            <w:r w:rsidRPr="000C1E1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28" w:type="dxa"/>
            <w:vMerge w:val="restart"/>
          </w:tcPr>
          <w:p w:rsidR="000C1E1E" w:rsidRPr="000C1E1E" w:rsidRDefault="000C1E1E" w:rsidP="000C1E1E">
            <w:pPr>
              <w:keepNext/>
              <w:keepLines/>
              <w:spacing w:before="200" w:after="0"/>
              <w:ind w:firstLine="34"/>
              <w:outlineLvl w:val="5"/>
              <w:rPr>
                <w:rFonts w:ascii="Times New Roman" w:eastAsiaTheme="majorEastAsia" w:hAnsi="Times New Roman" w:cs="Times New Roman"/>
                <w:iCs/>
                <w:color w:val="243F60" w:themeColor="accent1" w:themeShade="7F"/>
                <w:sz w:val="20"/>
              </w:rPr>
            </w:pPr>
          </w:p>
          <w:p w:rsidR="000C1E1E" w:rsidRPr="000C1E1E" w:rsidRDefault="000C1E1E" w:rsidP="000C1E1E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C1E1E">
              <w:rPr>
                <w:rFonts w:ascii="Times New Roman" w:hAnsi="Times New Roman" w:cs="Times New Roman"/>
                <w:b/>
                <w:sz w:val="20"/>
              </w:rPr>
              <w:t>Назва</w:t>
            </w:r>
            <w:proofErr w:type="spellEnd"/>
            <w:r w:rsidRPr="000C1E1E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C1E1E">
              <w:rPr>
                <w:rFonts w:ascii="Times New Roman" w:hAnsi="Times New Roman" w:cs="Times New Roman"/>
                <w:b/>
                <w:sz w:val="20"/>
              </w:rPr>
              <w:t>заході</w:t>
            </w:r>
            <w:proofErr w:type="gramStart"/>
            <w:r w:rsidRPr="000C1E1E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spellEnd"/>
            <w:proofErr w:type="gramEnd"/>
            <w:r w:rsidRPr="000C1E1E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0C1E1E">
              <w:rPr>
                <w:rFonts w:ascii="Times New Roman" w:hAnsi="Times New Roman" w:cs="Times New Roman"/>
                <w:b/>
                <w:sz w:val="20"/>
              </w:rPr>
              <w:t>робіт</w:t>
            </w:r>
            <w:proofErr w:type="spellEnd"/>
            <w:r w:rsidRPr="000C1E1E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597" w:type="dxa"/>
            <w:gridSpan w:val="2"/>
          </w:tcPr>
          <w:p w:rsidR="000C1E1E" w:rsidRPr="000C1E1E" w:rsidRDefault="000C1E1E" w:rsidP="000C1E1E">
            <w:pPr>
              <w:keepNext/>
              <w:spacing w:before="12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lang w:val="uk-UA" w:eastAsia="ru-RU"/>
              </w:rPr>
            </w:pPr>
            <w:r w:rsidRPr="000C1E1E">
              <w:rPr>
                <w:rFonts w:ascii="Times New Roman" w:eastAsia="Times New Roman" w:hAnsi="Times New Roman" w:cs="Times New Roman"/>
                <w:b/>
                <w:sz w:val="20"/>
                <w:lang w:val="uk-UA" w:eastAsia="ru-RU"/>
              </w:rPr>
              <w:t xml:space="preserve">Вартість робіт </w:t>
            </w:r>
          </w:p>
          <w:p w:rsidR="000C1E1E" w:rsidRPr="000C1E1E" w:rsidRDefault="000C1E1E" w:rsidP="000C1E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1E1E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0C1E1E">
              <w:rPr>
                <w:rFonts w:ascii="Times New Roman" w:hAnsi="Times New Roman" w:cs="Times New Roman"/>
                <w:b/>
                <w:sz w:val="20"/>
              </w:rPr>
              <w:t>тисяч</w:t>
            </w:r>
            <w:proofErr w:type="spellEnd"/>
            <w:r w:rsidRPr="000C1E1E">
              <w:rPr>
                <w:rFonts w:ascii="Times New Roman" w:hAnsi="Times New Roman" w:cs="Times New Roman"/>
                <w:b/>
                <w:sz w:val="20"/>
              </w:rPr>
              <w:t xml:space="preserve"> грн.)</w:t>
            </w:r>
          </w:p>
        </w:tc>
        <w:tc>
          <w:tcPr>
            <w:tcW w:w="2528" w:type="dxa"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C1E1E">
              <w:rPr>
                <w:rFonts w:ascii="Times New Roman" w:hAnsi="Times New Roman" w:cs="Times New Roman"/>
                <w:b/>
                <w:sz w:val="20"/>
              </w:rPr>
              <w:t>Ефективність</w:t>
            </w:r>
            <w:proofErr w:type="spellEnd"/>
            <w:r w:rsidRPr="000C1E1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C1E1E">
              <w:rPr>
                <w:rFonts w:ascii="Times New Roman" w:hAnsi="Times New Roman" w:cs="Times New Roman"/>
                <w:b/>
                <w:sz w:val="20"/>
              </w:rPr>
              <w:t>заході</w:t>
            </w:r>
            <w:proofErr w:type="gramStart"/>
            <w:r w:rsidRPr="000C1E1E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spellEnd"/>
            <w:proofErr w:type="gramEnd"/>
          </w:p>
        </w:tc>
        <w:tc>
          <w:tcPr>
            <w:tcW w:w="1196" w:type="dxa"/>
            <w:vMerge w:val="restart"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1E1E">
              <w:rPr>
                <w:rFonts w:ascii="Times New Roman" w:hAnsi="Times New Roman" w:cs="Times New Roman"/>
                <w:b/>
                <w:sz w:val="20"/>
              </w:rPr>
              <w:t xml:space="preserve">Строк </w:t>
            </w:r>
            <w:proofErr w:type="spellStart"/>
            <w:r w:rsidRPr="000C1E1E">
              <w:rPr>
                <w:rFonts w:ascii="Times New Roman" w:hAnsi="Times New Roman" w:cs="Times New Roman"/>
                <w:b/>
                <w:sz w:val="20"/>
              </w:rPr>
              <w:t>виконання</w:t>
            </w:r>
            <w:proofErr w:type="spellEnd"/>
          </w:p>
        </w:tc>
        <w:tc>
          <w:tcPr>
            <w:tcW w:w="1464" w:type="dxa"/>
            <w:vMerge w:val="restart"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C1E1E">
              <w:rPr>
                <w:rFonts w:ascii="Times New Roman" w:hAnsi="Times New Roman" w:cs="Times New Roman"/>
                <w:b/>
                <w:sz w:val="20"/>
              </w:rPr>
              <w:t>Відповідальні</w:t>
            </w:r>
            <w:proofErr w:type="spellEnd"/>
            <w:r w:rsidRPr="000C1E1E">
              <w:rPr>
                <w:rFonts w:ascii="Times New Roman" w:hAnsi="Times New Roman" w:cs="Times New Roman"/>
                <w:b/>
                <w:sz w:val="20"/>
              </w:rPr>
              <w:t xml:space="preserve"> за </w:t>
            </w:r>
            <w:proofErr w:type="spellStart"/>
            <w:r w:rsidRPr="000C1E1E">
              <w:rPr>
                <w:rFonts w:ascii="Times New Roman" w:hAnsi="Times New Roman" w:cs="Times New Roman"/>
                <w:b/>
                <w:sz w:val="20"/>
              </w:rPr>
              <w:t>виконання</w:t>
            </w:r>
            <w:proofErr w:type="spellEnd"/>
          </w:p>
        </w:tc>
      </w:tr>
      <w:tr w:rsidR="000C1E1E" w:rsidRPr="000C1E1E" w:rsidTr="00760E31">
        <w:trPr>
          <w:cantSplit/>
          <w:trHeight w:val="139"/>
        </w:trPr>
        <w:tc>
          <w:tcPr>
            <w:tcW w:w="633" w:type="dxa"/>
            <w:vMerge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8" w:type="dxa"/>
            <w:vMerge/>
          </w:tcPr>
          <w:p w:rsidR="000C1E1E" w:rsidRPr="000C1E1E" w:rsidRDefault="000C1E1E" w:rsidP="000C1E1E">
            <w:pPr>
              <w:keepNext/>
              <w:keepLines/>
              <w:spacing w:before="200" w:after="0"/>
              <w:outlineLvl w:val="5"/>
              <w:rPr>
                <w:rFonts w:ascii="Times New Roman" w:eastAsiaTheme="majorEastAsia" w:hAnsi="Times New Roman" w:cs="Times New Roman"/>
                <w:i/>
                <w:iCs/>
                <w:color w:val="243F60" w:themeColor="accent1" w:themeShade="7F"/>
                <w:sz w:val="20"/>
              </w:rPr>
            </w:pPr>
          </w:p>
        </w:tc>
        <w:tc>
          <w:tcPr>
            <w:tcW w:w="799" w:type="dxa"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1E1E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798" w:type="dxa"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1E1E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  <w:tc>
          <w:tcPr>
            <w:tcW w:w="2528" w:type="dxa"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6" w:type="dxa"/>
            <w:vMerge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64" w:type="dxa"/>
            <w:vMerge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1E1E" w:rsidRPr="000C1E1E" w:rsidTr="00760E31">
        <w:trPr>
          <w:cantSplit/>
          <w:trHeight w:val="514"/>
        </w:trPr>
        <w:tc>
          <w:tcPr>
            <w:tcW w:w="633" w:type="dxa"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1E1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128" w:type="dxa"/>
            <w:vAlign w:val="center"/>
          </w:tcPr>
          <w:p w:rsidR="000C1E1E" w:rsidRPr="000C1E1E" w:rsidRDefault="000C1E1E" w:rsidP="000C1E1E">
            <w:pPr>
              <w:keepNext/>
              <w:keepLines/>
              <w:spacing w:before="200" w:after="0"/>
              <w:jc w:val="center"/>
              <w:outlineLvl w:val="5"/>
              <w:rPr>
                <w:rFonts w:ascii="Times New Roman" w:eastAsiaTheme="majorEastAsia" w:hAnsi="Times New Roman" w:cs="Times New Roman"/>
                <w:iCs/>
                <w:color w:val="243F60" w:themeColor="accent1" w:themeShade="7F"/>
                <w:sz w:val="20"/>
              </w:rPr>
            </w:pPr>
            <w:r w:rsidRPr="000C1E1E">
              <w:rPr>
                <w:rFonts w:ascii="Times New Roman" w:eastAsiaTheme="majorEastAsia" w:hAnsi="Times New Roman" w:cs="Times New Roman"/>
                <w:iCs/>
                <w:color w:val="243F60" w:themeColor="accent1" w:themeShade="7F"/>
                <w:sz w:val="20"/>
              </w:rPr>
              <w:t>2</w:t>
            </w:r>
          </w:p>
        </w:tc>
        <w:tc>
          <w:tcPr>
            <w:tcW w:w="799" w:type="dxa"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1E1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98" w:type="dxa"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1E1E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528" w:type="dxa"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1E1E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6" w:type="dxa"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1E1E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464" w:type="dxa"/>
          </w:tcPr>
          <w:p w:rsidR="000C1E1E" w:rsidRPr="000C1E1E" w:rsidRDefault="000C1E1E" w:rsidP="000C1E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1E1E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</w:tr>
    </w:tbl>
    <w:p w:rsidR="000C1E1E" w:rsidRPr="000C1E1E" w:rsidRDefault="000C1E1E" w:rsidP="000C1E1E">
      <w:pPr>
        <w:shd w:val="pct15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0"/>
          <w:lang w:val="uk-UA" w:eastAsia="ru-RU"/>
        </w:rPr>
      </w:pPr>
    </w:p>
    <w:p w:rsidR="000C1E1E" w:rsidRPr="000C1E1E" w:rsidRDefault="000C1E1E" w:rsidP="000C1E1E">
      <w:pPr>
        <w:shd w:val="pct15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0"/>
          <w:lang w:val="uk-UA" w:eastAsia="ru-RU"/>
        </w:rPr>
      </w:pPr>
      <w:proofErr w:type="spellStart"/>
      <w:r w:rsidRPr="000C1E1E">
        <w:rPr>
          <w:rFonts w:ascii="Times New Roman" w:eastAsia="Times New Roman" w:hAnsi="Times New Roman" w:cs="Times New Roman"/>
          <w:i/>
          <w:szCs w:val="20"/>
          <w:lang w:val="uk-UA" w:eastAsia="ru-RU"/>
        </w:rPr>
        <w:t>Коментар:до</w:t>
      </w:r>
      <w:proofErr w:type="spellEnd"/>
      <w:r w:rsidRPr="000C1E1E">
        <w:rPr>
          <w:rFonts w:ascii="Times New Roman" w:eastAsia="Times New Roman" w:hAnsi="Times New Roman" w:cs="Times New Roman"/>
          <w:i/>
          <w:szCs w:val="20"/>
          <w:lang w:val="uk-UA" w:eastAsia="ru-RU"/>
        </w:rPr>
        <w:t xml:space="preserve"> графи 3 заноситься сума коштів, що планується використати на конкретний захід (роботу);у графі 5 вказується соціальна ефективність заходу (наприклад – довести температурний режим у … не нижче +18</w:t>
      </w:r>
      <w:r w:rsidRPr="000C1E1E">
        <w:rPr>
          <w:rFonts w:ascii="Times New Roman" w:eastAsia="Times New Roman" w:hAnsi="Times New Roman" w:cs="Times New Roman"/>
          <w:i/>
          <w:szCs w:val="20"/>
          <w:vertAlign w:val="superscript"/>
          <w:lang w:val="uk-UA" w:eastAsia="ru-RU"/>
        </w:rPr>
        <w:t>о</w:t>
      </w:r>
      <w:r w:rsidRPr="000C1E1E">
        <w:rPr>
          <w:rFonts w:ascii="Times New Roman" w:eastAsia="Times New Roman" w:hAnsi="Times New Roman" w:cs="Times New Roman"/>
          <w:i/>
          <w:szCs w:val="20"/>
          <w:lang w:val="uk-UA" w:eastAsia="ru-RU"/>
        </w:rPr>
        <w:t xml:space="preserve"> взимку; довести штучне освітлення на 10 робочих місцях до 150 люкс);у графі 7 вказується кінцева дата виконання заходу. </w:t>
      </w:r>
    </w:p>
    <w:p w:rsidR="000C1E1E" w:rsidRPr="000C1E1E" w:rsidRDefault="000C1E1E" w:rsidP="000C1E1E">
      <w:pPr>
        <w:shd w:val="pct15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0"/>
          <w:lang w:val="uk-UA" w:eastAsia="ru-RU"/>
        </w:rPr>
      </w:pPr>
      <w:r w:rsidRPr="000C1E1E">
        <w:rPr>
          <w:rFonts w:ascii="Times New Roman" w:eastAsia="Times New Roman" w:hAnsi="Times New Roman" w:cs="Times New Roman"/>
          <w:i/>
          <w:szCs w:val="20"/>
          <w:lang w:val="uk-UA" w:eastAsia="ru-RU"/>
        </w:rPr>
        <w:t>Враховуючи доцільність щоквартального підведення підсумків виконання зобов’язань, доцільно групувати заходи по кварталах.</w:t>
      </w:r>
    </w:p>
    <w:p w:rsidR="000C1E1E" w:rsidRPr="000C1E1E" w:rsidRDefault="000C1E1E" w:rsidP="000C1E1E">
      <w:pPr>
        <w:shd w:val="clear" w:color="auto" w:fill="FFFFFF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1E" w:rsidRPr="000C1E1E" w:rsidRDefault="000C1E1E" w:rsidP="000C1E1E">
      <w:pPr>
        <w:jc w:val="center"/>
        <w:rPr>
          <w:rFonts w:ascii="Times New Roman" w:hAnsi="Times New Roman" w:cs="Times New Roman"/>
          <w:lang w:val="uk-UA"/>
        </w:rPr>
      </w:pPr>
    </w:p>
    <w:p w:rsidR="00791183" w:rsidRPr="000C1E1E" w:rsidRDefault="00791183">
      <w:pPr>
        <w:rPr>
          <w:lang w:val="uk-UA"/>
        </w:rPr>
      </w:pPr>
    </w:p>
    <w:sectPr w:rsidR="00791183" w:rsidRPr="000C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2D"/>
    <w:rsid w:val="000C1E1E"/>
    <w:rsid w:val="002C5950"/>
    <w:rsid w:val="00325D2D"/>
    <w:rsid w:val="0079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</cp:revision>
  <dcterms:created xsi:type="dcterms:W3CDTF">2021-12-10T09:12:00Z</dcterms:created>
  <dcterms:modified xsi:type="dcterms:W3CDTF">2021-12-10T09:39:00Z</dcterms:modified>
</cp:coreProperties>
</file>