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2A" w:rsidRPr="00E8520D" w:rsidRDefault="00D1682A" w:rsidP="00664CF3">
      <w:pPr>
        <w:jc w:val="center"/>
        <w:rPr>
          <w:b/>
          <w:bCs/>
          <w:sz w:val="28"/>
          <w:szCs w:val="28"/>
          <w:u w:val="single"/>
          <w:lang w:val="uk-UA"/>
        </w:rPr>
      </w:pPr>
      <w:bookmarkStart w:id="0" w:name="_GoBack"/>
      <w:bookmarkEnd w:id="0"/>
      <w:r w:rsidRPr="00E8520D">
        <w:rPr>
          <w:b/>
          <w:bCs/>
          <w:sz w:val="28"/>
          <w:szCs w:val="28"/>
          <w:u w:val="single"/>
          <w:lang w:val="uk-UA"/>
        </w:rPr>
        <w:t>ЕКОНОМІЧНИЙ СТАН МІСТА ЛИСИЧАНСЬК</w:t>
      </w:r>
      <w:r w:rsidR="002D28F3">
        <w:rPr>
          <w:b/>
          <w:bCs/>
          <w:sz w:val="28"/>
          <w:szCs w:val="28"/>
          <w:u w:val="single"/>
          <w:lang w:val="uk-UA"/>
        </w:rPr>
        <w:t>А</w:t>
      </w:r>
      <w:r w:rsidRPr="00E8520D">
        <w:rPr>
          <w:b/>
          <w:bCs/>
          <w:sz w:val="28"/>
          <w:szCs w:val="28"/>
          <w:u w:val="single"/>
          <w:lang w:val="uk-UA"/>
        </w:rPr>
        <w:t xml:space="preserve"> </w:t>
      </w:r>
    </w:p>
    <w:p w:rsidR="00D1682A" w:rsidRPr="00E8520D" w:rsidRDefault="00D1682A" w:rsidP="00664CF3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E8520D">
        <w:rPr>
          <w:b/>
          <w:bCs/>
          <w:sz w:val="28"/>
          <w:szCs w:val="28"/>
          <w:u w:val="single"/>
          <w:lang w:val="uk-UA"/>
        </w:rPr>
        <w:t>СТАНОМ НА 01.01.201</w:t>
      </w:r>
      <w:r w:rsidR="000B5D16">
        <w:rPr>
          <w:b/>
          <w:bCs/>
          <w:sz w:val="28"/>
          <w:szCs w:val="28"/>
          <w:u w:val="single"/>
          <w:lang w:val="uk-UA"/>
        </w:rPr>
        <w:t>8</w:t>
      </w:r>
      <w:r w:rsidRPr="00E8520D">
        <w:rPr>
          <w:b/>
          <w:bCs/>
          <w:sz w:val="28"/>
          <w:szCs w:val="28"/>
          <w:u w:val="single"/>
          <w:lang w:val="uk-UA"/>
        </w:rPr>
        <w:t xml:space="preserve"> РОКУ</w:t>
      </w:r>
    </w:p>
    <w:p w:rsidR="00D1682A" w:rsidRPr="00E8520D" w:rsidRDefault="00D1682A" w:rsidP="00664CF3">
      <w:pPr>
        <w:jc w:val="center"/>
        <w:rPr>
          <w:u w:val="single"/>
          <w:lang w:val="uk-UA"/>
        </w:rPr>
      </w:pPr>
    </w:p>
    <w:p w:rsidR="00D1682A" w:rsidRPr="00E8520D" w:rsidRDefault="00D1682A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>Промисловість</w:t>
      </w:r>
    </w:p>
    <w:p w:rsidR="008C2D36" w:rsidRDefault="008C2D36" w:rsidP="00B04AA9">
      <w:pPr>
        <w:tabs>
          <w:tab w:val="left" w:pos="1276"/>
        </w:tabs>
        <w:suppressAutoHyphens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B04AA9" w:rsidRDefault="000B5D16" w:rsidP="00B04AA9">
      <w:pPr>
        <w:tabs>
          <w:tab w:val="left" w:pos="1276"/>
        </w:tabs>
        <w:suppressAutoHyphens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B5D16">
        <w:rPr>
          <w:rFonts w:eastAsia="Calibri"/>
          <w:sz w:val="28"/>
          <w:szCs w:val="28"/>
          <w:lang w:val="uk-UA" w:eastAsia="en-US"/>
        </w:rPr>
        <w:t>У 2017 році реалізовано промислової продукції, робіт і послуг на суму 1 138 282,3 тис. грн., що на 253 144,4 тис. грн., або на 28,6% більше минулорічного показника. Обсяг реалізованої промислової продукції (товарів, послуг) без ПДВ та акцизу у відсотках до всієї реалізованої продукції в Луганській області складає 4,9%.</w:t>
      </w:r>
    </w:p>
    <w:p w:rsidR="00B04AA9" w:rsidRDefault="00B04AA9" w:rsidP="00B04AA9">
      <w:pPr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B04A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Обсяг реалізованої промислової продукції за 2017 рік у розрахунку на 1 особу становив 10111,4 грн.</w:t>
      </w:r>
    </w:p>
    <w:p w:rsidR="000B5D16" w:rsidRPr="000B5D16" w:rsidRDefault="000B5D16" w:rsidP="000B5D1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0B5D16" w:rsidRPr="000B5D16" w:rsidRDefault="000B5D16" w:rsidP="000B5D16">
      <w:pPr>
        <w:ind w:firstLine="709"/>
        <w:jc w:val="center"/>
        <w:outlineLvl w:val="0"/>
        <w:rPr>
          <w:rFonts w:eastAsia="Calibri"/>
          <w:b/>
          <w:sz w:val="28"/>
          <w:szCs w:val="28"/>
          <w:lang w:val="uk-UA" w:eastAsia="en-US"/>
        </w:rPr>
      </w:pPr>
      <w:r w:rsidRPr="000B5D16">
        <w:rPr>
          <w:rFonts w:eastAsia="Calibri"/>
          <w:b/>
          <w:sz w:val="28"/>
          <w:szCs w:val="28"/>
          <w:lang w:val="uk-UA" w:eastAsia="en-US"/>
        </w:rPr>
        <w:t>Обсяг реалізованої промислової продукції по м. Лисичанську</w:t>
      </w:r>
    </w:p>
    <w:p w:rsidR="000B5D16" w:rsidRDefault="000B5D16" w:rsidP="000B5D16">
      <w:pPr>
        <w:ind w:firstLine="709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0B5D16">
        <w:rPr>
          <w:rFonts w:eastAsia="Calibri"/>
          <w:b/>
          <w:sz w:val="28"/>
          <w:szCs w:val="28"/>
          <w:lang w:val="uk-UA" w:eastAsia="en-US"/>
        </w:rPr>
        <w:t>за 2012 – 2017 роки</w:t>
      </w:r>
    </w:p>
    <w:p w:rsidR="00AD4C68" w:rsidRPr="00AD4C68" w:rsidRDefault="00AD4C68" w:rsidP="00AD4C68">
      <w:pPr>
        <w:ind w:left="142" w:firstLine="567"/>
        <w:jc w:val="center"/>
        <w:rPr>
          <w:rFonts w:eastAsia="Calibri"/>
          <w:b/>
          <w:sz w:val="28"/>
          <w:szCs w:val="28"/>
          <w:lang w:val="en-US" w:eastAsia="en-US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1023"/>
        <w:gridCol w:w="975"/>
        <w:gridCol w:w="975"/>
        <w:gridCol w:w="975"/>
        <w:gridCol w:w="975"/>
        <w:gridCol w:w="1178"/>
      </w:tblGrid>
      <w:tr w:rsidR="000B5D16" w:rsidRPr="000B5D16" w:rsidTr="00AD4C68">
        <w:trPr>
          <w:trHeight w:val="20"/>
          <w:jc w:val="center"/>
        </w:trPr>
        <w:tc>
          <w:tcPr>
            <w:tcW w:w="2121" w:type="pct"/>
            <w:vAlign w:val="center"/>
          </w:tcPr>
          <w:p w:rsidR="000B5D16" w:rsidRPr="000B5D16" w:rsidRDefault="000B5D16" w:rsidP="000B5D16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B5D16">
              <w:rPr>
                <w:rFonts w:eastAsia="Calibri"/>
                <w:b/>
                <w:lang w:val="uk-UA" w:eastAsia="en-US"/>
              </w:rPr>
              <w:t>Показник</w:t>
            </w:r>
          </w:p>
        </w:tc>
        <w:tc>
          <w:tcPr>
            <w:tcW w:w="482" w:type="pct"/>
            <w:vAlign w:val="center"/>
          </w:tcPr>
          <w:p w:rsidR="000B5D16" w:rsidRPr="000B5D16" w:rsidRDefault="000B5D16" w:rsidP="000B5D16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B5D16">
              <w:rPr>
                <w:rFonts w:eastAsia="Calibri"/>
                <w:b/>
                <w:lang w:val="uk-UA" w:eastAsia="en-US"/>
              </w:rPr>
              <w:t>2012 р.</w:t>
            </w:r>
          </w:p>
        </w:tc>
        <w:tc>
          <w:tcPr>
            <w:tcW w:w="460" w:type="pct"/>
            <w:vAlign w:val="center"/>
          </w:tcPr>
          <w:p w:rsidR="000B5D16" w:rsidRPr="000B5D16" w:rsidRDefault="000B5D16" w:rsidP="000B5D16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B5D16">
              <w:rPr>
                <w:rFonts w:eastAsia="Calibri"/>
                <w:b/>
                <w:lang w:val="uk-UA" w:eastAsia="en-US"/>
              </w:rPr>
              <w:t>2013 р.</w:t>
            </w:r>
          </w:p>
        </w:tc>
        <w:tc>
          <w:tcPr>
            <w:tcW w:w="460" w:type="pct"/>
            <w:vAlign w:val="center"/>
          </w:tcPr>
          <w:p w:rsidR="000B5D16" w:rsidRPr="000B5D16" w:rsidRDefault="000B5D16" w:rsidP="000B5D16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B5D16">
              <w:rPr>
                <w:rFonts w:eastAsia="Calibri"/>
                <w:b/>
                <w:lang w:val="uk-UA" w:eastAsia="en-US"/>
              </w:rPr>
              <w:t>2014 р.</w:t>
            </w:r>
          </w:p>
        </w:tc>
        <w:tc>
          <w:tcPr>
            <w:tcW w:w="460" w:type="pct"/>
            <w:vAlign w:val="center"/>
          </w:tcPr>
          <w:p w:rsidR="000B5D16" w:rsidRPr="000B5D16" w:rsidRDefault="000B5D16" w:rsidP="000B5D16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B5D16">
              <w:rPr>
                <w:rFonts w:eastAsia="Calibri"/>
                <w:b/>
                <w:lang w:val="uk-UA" w:eastAsia="en-US"/>
              </w:rPr>
              <w:t>2015 р.</w:t>
            </w:r>
          </w:p>
        </w:tc>
        <w:tc>
          <w:tcPr>
            <w:tcW w:w="460" w:type="pct"/>
            <w:vAlign w:val="center"/>
          </w:tcPr>
          <w:p w:rsidR="000B5D16" w:rsidRPr="000B5D16" w:rsidRDefault="000B5D16" w:rsidP="000B5D16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B5D16">
              <w:rPr>
                <w:rFonts w:eastAsia="Calibri"/>
                <w:b/>
                <w:lang w:val="uk-UA" w:eastAsia="en-US"/>
              </w:rPr>
              <w:t>2016 р.</w:t>
            </w:r>
          </w:p>
        </w:tc>
        <w:tc>
          <w:tcPr>
            <w:tcW w:w="556" w:type="pct"/>
            <w:vAlign w:val="center"/>
          </w:tcPr>
          <w:p w:rsidR="000B5D16" w:rsidRPr="000B5D16" w:rsidRDefault="000B5D16" w:rsidP="000B5D16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B5D16">
              <w:rPr>
                <w:rFonts w:eastAsia="Calibri"/>
                <w:b/>
                <w:lang w:val="uk-UA" w:eastAsia="en-US"/>
              </w:rPr>
              <w:t>2017 р.</w:t>
            </w:r>
          </w:p>
        </w:tc>
      </w:tr>
      <w:tr w:rsidR="000B5D16" w:rsidRPr="000B5D16" w:rsidTr="00AD4C68">
        <w:trPr>
          <w:trHeight w:val="20"/>
          <w:jc w:val="center"/>
        </w:trPr>
        <w:tc>
          <w:tcPr>
            <w:tcW w:w="2121" w:type="pct"/>
            <w:vAlign w:val="center"/>
          </w:tcPr>
          <w:p w:rsidR="000B5D16" w:rsidRPr="000B5D16" w:rsidRDefault="000B5D16" w:rsidP="000B5D16">
            <w:pPr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Обсяг реалізованої промислової проду</w:t>
            </w:r>
            <w:r w:rsidRPr="000B5D16">
              <w:rPr>
                <w:rFonts w:eastAsia="Calibri"/>
                <w:lang w:val="uk-UA" w:eastAsia="en-US"/>
              </w:rPr>
              <w:t>к</w:t>
            </w:r>
            <w:r w:rsidRPr="000B5D16">
              <w:rPr>
                <w:rFonts w:eastAsia="Calibri"/>
                <w:lang w:val="uk-UA" w:eastAsia="en-US"/>
              </w:rPr>
              <w:t>ції по м. Лисичанську (млн. грн.)</w:t>
            </w:r>
          </w:p>
        </w:tc>
        <w:tc>
          <w:tcPr>
            <w:tcW w:w="482" w:type="pct"/>
            <w:vAlign w:val="center"/>
          </w:tcPr>
          <w:p w:rsidR="000B5D16" w:rsidRPr="000B5D16" w:rsidRDefault="000B5D16" w:rsidP="000B5D16">
            <w:pPr>
              <w:jc w:val="right"/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4 108,1</w:t>
            </w:r>
          </w:p>
        </w:tc>
        <w:tc>
          <w:tcPr>
            <w:tcW w:w="460" w:type="pct"/>
            <w:vAlign w:val="center"/>
          </w:tcPr>
          <w:p w:rsidR="000B5D16" w:rsidRPr="000B5D16" w:rsidRDefault="000B5D16" w:rsidP="000B5D16">
            <w:pPr>
              <w:jc w:val="right"/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563,1</w:t>
            </w:r>
          </w:p>
        </w:tc>
        <w:tc>
          <w:tcPr>
            <w:tcW w:w="460" w:type="pct"/>
            <w:vAlign w:val="center"/>
          </w:tcPr>
          <w:p w:rsidR="000B5D16" w:rsidRPr="000B5D16" w:rsidRDefault="000B5D16" w:rsidP="000B5D16">
            <w:pPr>
              <w:jc w:val="right"/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471,7</w:t>
            </w:r>
          </w:p>
        </w:tc>
        <w:tc>
          <w:tcPr>
            <w:tcW w:w="460" w:type="pct"/>
            <w:vAlign w:val="center"/>
          </w:tcPr>
          <w:p w:rsidR="000B5D16" w:rsidRPr="000B5D16" w:rsidRDefault="000B5D16" w:rsidP="000B5D16">
            <w:pPr>
              <w:jc w:val="right"/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727,82</w:t>
            </w:r>
          </w:p>
        </w:tc>
        <w:tc>
          <w:tcPr>
            <w:tcW w:w="460" w:type="pct"/>
            <w:vAlign w:val="center"/>
          </w:tcPr>
          <w:p w:rsidR="000B5D16" w:rsidRPr="000B5D16" w:rsidRDefault="000B5D16" w:rsidP="000B5D16">
            <w:pPr>
              <w:jc w:val="right"/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885,14</w:t>
            </w:r>
          </w:p>
        </w:tc>
        <w:tc>
          <w:tcPr>
            <w:tcW w:w="556" w:type="pct"/>
            <w:vAlign w:val="center"/>
          </w:tcPr>
          <w:p w:rsidR="000B5D16" w:rsidRPr="000B5D16" w:rsidRDefault="000B5D16" w:rsidP="000B5D16">
            <w:pPr>
              <w:jc w:val="right"/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1 138,28</w:t>
            </w:r>
          </w:p>
        </w:tc>
      </w:tr>
      <w:tr w:rsidR="000B5D16" w:rsidRPr="000B5D16" w:rsidTr="00AD4C68">
        <w:trPr>
          <w:trHeight w:val="20"/>
          <w:jc w:val="center"/>
        </w:trPr>
        <w:tc>
          <w:tcPr>
            <w:tcW w:w="2121" w:type="pct"/>
            <w:vAlign w:val="center"/>
          </w:tcPr>
          <w:p w:rsidR="000B5D16" w:rsidRPr="000B5D16" w:rsidRDefault="000B5D16" w:rsidP="000B5D16">
            <w:pPr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Питома вага реалізованої продукції до загального обсягу реалізованої продукції по Луганській обл. (%)</w:t>
            </w:r>
          </w:p>
        </w:tc>
        <w:tc>
          <w:tcPr>
            <w:tcW w:w="482" w:type="pct"/>
            <w:vAlign w:val="center"/>
          </w:tcPr>
          <w:p w:rsidR="000B5D16" w:rsidRPr="000B5D16" w:rsidRDefault="000B5D16" w:rsidP="000B5D16">
            <w:pPr>
              <w:jc w:val="right"/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5,1</w:t>
            </w:r>
          </w:p>
        </w:tc>
        <w:tc>
          <w:tcPr>
            <w:tcW w:w="460" w:type="pct"/>
            <w:vAlign w:val="center"/>
          </w:tcPr>
          <w:p w:rsidR="000B5D16" w:rsidRPr="000B5D16" w:rsidRDefault="000B5D16" w:rsidP="000B5D16">
            <w:pPr>
              <w:jc w:val="right"/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0,8</w:t>
            </w:r>
          </w:p>
        </w:tc>
        <w:tc>
          <w:tcPr>
            <w:tcW w:w="460" w:type="pct"/>
            <w:vAlign w:val="center"/>
          </w:tcPr>
          <w:p w:rsidR="000B5D16" w:rsidRPr="000B5D16" w:rsidRDefault="000B5D16" w:rsidP="000B5D16">
            <w:pPr>
              <w:jc w:val="right"/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1,0</w:t>
            </w:r>
          </w:p>
        </w:tc>
        <w:tc>
          <w:tcPr>
            <w:tcW w:w="460" w:type="pct"/>
            <w:vAlign w:val="center"/>
          </w:tcPr>
          <w:p w:rsidR="000B5D16" w:rsidRPr="000B5D16" w:rsidRDefault="000B5D16" w:rsidP="000B5D16">
            <w:pPr>
              <w:jc w:val="right"/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2,9</w:t>
            </w:r>
          </w:p>
        </w:tc>
        <w:tc>
          <w:tcPr>
            <w:tcW w:w="460" w:type="pct"/>
            <w:vAlign w:val="center"/>
          </w:tcPr>
          <w:p w:rsidR="000B5D16" w:rsidRPr="000B5D16" w:rsidRDefault="000B5D16" w:rsidP="000B5D16">
            <w:pPr>
              <w:jc w:val="right"/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2,4</w:t>
            </w:r>
          </w:p>
        </w:tc>
        <w:tc>
          <w:tcPr>
            <w:tcW w:w="556" w:type="pct"/>
            <w:vAlign w:val="center"/>
          </w:tcPr>
          <w:p w:rsidR="000B5D16" w:rsidRPr="000B5D16" w:rsidRDefault="000B5D16" w:rsidP="000B5D16">
            <w:pPr>
              <w:jc w:val="right"/>
              <w:rPr>
                <w:rFonts w:eastAsia="Calibri"/>
                <w:lang w:val="uk-UA" w:eastAsia="en-US"/>
              </w:rPr>
            </w:pPr>
            <w:r w:rsidRPr="000B5D16">
              <w:rPr>
                <w:rFonts w:eastAsia="Calibri"/>
                <w:lang w:val="uk-UA" w:eastAsia="en-US"/>
              </w:rPr>
              <w:t>4,9</w:t>
            </w:r>
          </w:p>
        </w:tc>
      </w:tr>
    </w:tbl>
    <w:p w:rsidR="000B5D16" w:rsidRDefault="000B5D16" w:rsidP="00664CF3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D1682A" w:rsidRPr="00E8520D" w:rsidRDefault="000B5D16" w:rsidP="000B5D16">
      <w:pPr>
        <w:ind w:firstLine="708"/>
        <w:jc w:val="both"/>
        <w:rPr>
          <w:sz w:val="28"/>
          <w:szCs w:val="28"/>
          <w:lang w:val="uk-UA"/>
        </w:rPr>
      </w:pPr>
      <w:r w:rsidRPr="000B5D16">
        <w:rPr>
          <w:rFonts w:eastAsia="Calibri"/>
          <w:sz w:val="28"/>
          <w:szCs w:val="28"/>
          <w:lang w:val="uk-UA" w:eastAsia="en-US"/>
        </w:rPr>
        <w:t>Вагомий внесок у бюджет і промисловість міста роблять П</w:t>
      </w:r>
      <w:proofErr w:type="spellStart"/>
      <w:r w:rsidRPr="000B5D16">
        <w:rPr>
          <w:rFonts w:eastAsia="Calibri"/>
          <w:sz w:val="28"/>
          <w:szCs w:val="28"/>
          <w:lang w:val="uk-UA" w:eastAsia="en-US"/>
        </w:rPr>
        <w:t>АТ «Лисичанськвуг</w:t>
      </w:r>
      <w:proofErr w:type="spellEnd"/>
      <w:r w:rsidRPr="000B5D16">
        <w:rPr>
          <w:rFonts w:eastAsia="Calibri"/>
          <w:sz w:val="28"/>
          <w:szCs w:val="28"/>
          <w:lang w:val="uk-UA" w:eastAsia="en-US"/>
        </w:rPr>
        <w:t>ілля», ТДВ «Желатиновий завод», ПАТ «Рідкісні гази», ТОВ «</w:t>
      </w:r>
      <w:proofErr w:type="spellStart"/>
      <w:r w:rsidRPr="000B5D16">
        <w:rPr>
          <w:rFonts w:eastAsia="Calibri"/>
          <w:sz w:val="28"/>
          <w:szCs w:val="28"/>
          <w:lang w:val="uk-UA" w:eastAsia="en-US"/>
        </w:rPr>
        <w:t>Лиспи</w:t>
      </w:r>
      <w:proofErr w:type="spellEnd"/>
      <w:r w:rsidRPr="000B5D16">
        <w:rPr>
          <w:rFonts w:eastAsia="Calibri"/>
          <w:sz w:val="28"/>
          <w:szCs w:val="28"/>
          <w:lang w:val="uk-UA" w:eastAsia="en-US"/>
        </w:rPr>
        <w:t>», тощо</w:t>
      </w:r>
      <w:r w:rsidR="002D28F3">
        <w:rPr>
          <w:rFonts w:eastAsia="Calibri"/>
          <w:sz w:val="28"/>
          <w:szCs w:val="28"/>
          <w:lang w:val="uk-UA" w:eastAsia="en-US"/>
        </w:rPr>
        <w:t>.</w:t>
      </w:r>
    </w:p>
    <w:p w:rsidR="00B04AA9" w:rsidRPr="00B04AA9" w:rsidRDefault="002523F0" w:rsidP="00B04A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Проблемними</w:t>
      </w:r>
      <w:r w:rsidR="00D1682A" w:rsidRPr="00B04AA9">
        <w:rPr>
          <w:sz w:val="28"/>
          <w:szCs w:val="28"/>
          <w:lang w:val="uk-UA"/>
        </w:rPr>
        <w:t xml:space="preserve"> питання</w:t>
      </w:r>
      <w:r>
        <w:rPr>
          <w:sz w:val="28"/>
          <w:szCs w:val="28"/>
          <w:lang w:val="uk-UA"/>
        </w:rPr>
        <w:t>ми</w:t>
      </w:r>
      <w:r w:rsidR="00D1682A" w:rsidRPr="00B04AA9">
        <w:rPr>
          <w:sz w:val="28"/>
          <w:szCs w:val="28"/>
          <w:lang w:val="uk-UA"/>
        </w:rPr>
        <w:t xml:space="preserve"> розвитку підприємств</w:t>
      </w:r>
      <w:r>
        <w:rPr>
          <w:sz w:val="28"/>
          <w:szCs w:val="28"/>
          <w:lang w:val="uk-UA"/>
        </w:rPr>
        <w:t xml:space="preserve"> є</w:t>
      </w:r>
      <w:r w:rsidR="00D1682A" w:rsidRPr="00B04AA9">
        <w:rPr>
          <w:sz w:val="28"/>
          <w:szCs w:val="28"/>
          <w:lang w:val="uk-UA"/>
        </w:rPr>
        <w:t>:</w:t>
      </w:r>
      <w:r w:rsidR="00B04AA9" w:rsidRPr="00B04AA9">
        <w:rPr>
          <w:sz w:val="28"/>
          <w:szCs w:val="28"/>
          <w:lang w:val="uk-UA"/>
        </w:rPr>
        <w:t xml:space="preserve"> </w:t>
      </w:r>
    </w:p>
    <w:p w:rsidR="008D7806" w:rsidRPr="00203014" w:rsidRDefault="008D7806" w:rsidP="008D780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значна втрата традиційних ринків збуту;</w:t>
      </w:r>
    </w:p>
    <w:p w:rsidR="008D7806" w:rsidRPr="00203014" w:rsidRDefault="008D7806" w:rsidP="008D780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недостатня підтримка на державному рівні реального сектору економіки</w:t>
      </w:r>
      <w:r>
        <w:rPr>
          <w:sz w:val="28"/>
          <w:szCs w:val="28"/>
          <w:lang w:val="uk-UA"/>
        </w:rPr>
        <w:t xml:space="preserve"> </w:t>
      </w:r>
      <w:r w:rsidRPr="008D7806">
        <w:rPr>
          <w:sz w:val="28"/>
          <w:szCs w:val="28"/>
          <w:lang w:val="uk-UA"/>
        </w:rPr>
        <w:t xml:space="preserve">(національного товаровиробника) </w:t>
      </w:r>
      <w:r w:rsidRPr="00203014">
        <w:rPr>
          <w:sz w:val="28"/>
          <w:szCs w:val="28"/>
          <w:lang w:val="uk-UA"/>
        </w:rPr>
        <w:t xml:space="preserve">та розвитку промисловості; </w:t>
      </w:r>
    </w:p>
    <w:p w:rsidR="008D7806" w:rsidRPr="00203014" w:rsidRDefault="008D7806" w:rsidP="008D780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велике ввізне мито на імпортовану сировину, виробництво якої відсутнє в Україні;</w:t>
      </w:r>
    </w:p>
    <w:p w:rsidR="008D7806" w:rsidRPr="00203014" w:rsidRDefault="008D7806" w:rsidP="008D780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зростання вартості енергоносіїв та обмеження їх споживання;</w:t>
      </w:r>
    </w:p>
    <w:p w:rsidR="008D7806" w:rsidRPr="001E1E77" w:rsidRDefault="008D7806" w:rsidP="008D780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E1E77">
        <w:rPr>
          <w:sz w:val="28"/>
          <w:szCs w:val="28"/>
          <w:lang w:val="uk-UA"/>
        </w:rPr>
        <w:t>порушення енергетичної інфраструктури Луганської області.</w:t>
      </w:r>
    </w:p>
    <w:p w:rsidR="00B04AA9" w:rsidRDefault="00B04AA9" w:rsidP="00B04AA9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 xml:space="preserve">За прогнозом на 2018 рік </w:t>
      </w:r>
      <w:r>
        <w:rPr>
          <w:sz w:val="28"/>
          <w:szCs w:val="28"/>
          <w:lang w:val="uk-UA"/>
        </w:rPr>
        <w:t>підприємства міста мають позитивні</w:t>
      </w:r>
      <w:r w:rsidRPr="00B04AA9">
        <w:rPr>
          <w:rStyle w:val="hps"/>
          <w:lang w:val="uk-UA"/>
        </w:rPr>
        <w:t xml:space="preserve"> </w:t>
      </w:r>
      <w:r w:rsidRPr="00B04AA9">
        <w:rPr>
          <w:rStyle w:val="hps"/>
          <w:sz w:val="28"/>
          <w:szCs w:val="28"/>
          <w:lang w:val="uk-UA"/>
        </w:rPr>
        <w:t>плани щодо зро</w:t>
      </w:r>
      <w:r w:rsidRPr="00B04AA9">
        <w:rPr>
          <w:rStyle w:val="hps"/>
          <w:sz w:val="28"/>
          <w:szCs w:val="28"/>
          <w:lang w:val="uk-UA"/>
        </w:rPr>
        <w:t>с</w:t>
      </w:r>
      <w:r w:rsidRPr="00B04AA9">
        <w:rPr>
          <w:rStyle w:val="hps"/>
          <w:sz w:val="28"/>
          <w:szCs w:val="28"/>
          <w:lang w:val="uk-UA"/>
        </w:rPr>
        <w:t xml:space="preserve">тання обсягу реалізованої промислової продукції та збереження позитивних тенденцій своєї роботи. </w:t>
      </w:r>
      <w:r>
        <w:rPr>
          <w:rStyle w:val="hps"/>
          <w:sz w:val="28"/>
          <w:szCs w:val="28"/>
          <w:lang w:val="uk-UA"/>
        </w:rPr>
        <w:t>О</w:t>
      </w:r>
      <w:r w:rsidRPr="00203014">
        <w:rPr>
          <w:sz w:val="28"/>
          <w:szCs w:val="28"/>
          <w:lang w:val="uk-UA"/>
        </w:rPr>
        <w:t>бсяг реалізованої промислової продукції очікується на рівні 1 450 млн. грн.</w:t>
      </w:r>
    </w:p>
    <w:p w:rsidR="008D7806" w:rsidRDefault="008D7806" w:rsidP="008D7806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У зв’язку зі складною соціально-політичною ситуацією та підвищенням цін на енергоносії переважна більшість основних підприємств не планують створення нових робочих місць, а також реалізацію інвестиційних проектів. Але, тим не менше, основні підприємства промислового сектору розраховують протягом 2018 року повністю пог</w:t>
      </w:r>
      <w:r w:rsidRPr="00203014">
        <w:rPr>
          <w:sz w:val="28"/>
          <w:szCs w:val="28"/>
          <w:lang w:val="uk-UA"/>
        </w:rPr>
        <w:t>а</w:t>
      </w:r>
      <w:r w:rsidRPr="00203014">
        <w:rPr>
          <w:sz w:val="28"/>
          <w:szCs w:val="28"/>
          <w:lang w:val="uk-UA"/>
        </w:rPr>
        <w:t>сити заборгованість з виплати заробітної плати, П</w:t>
      </w:r>
      <w:proofErr w:type="spellStart"/>
      <w:r w:rsidRPr="00203014">
        <w:rPr>
          <w:sz w:val="28"/>
          <w:szCs w:val="28"/>
          <w:lang w:val="uk-UA"/>
        </w:rPr>
        <w:t>АТ «Лисичанськвуг</w:t>
      </w:r>
      <w:proofErr w:type="spellEnd"/>
      <w:r w:rsidRPr="00203014">
        <w:rPr>
          <w:sz w:val="28"/>
          <w:szCs w:val="28"/>
          <w:lang w:val="uk-UA"/>
        </w:rPr>
        <w:t>ілля» планує майже втричі збільшити обсяг виробленої продукції і помітно збільшити середньоо</w:t>
      </w:r>
      <w:r w:rsidRPr="00203014">
        <w:rPr>
          <w:sz w:val="28"/>
          <w:szCs w:val="28"/>
          <w:lang w:val="uk-UA"/>
        </w:rPr>
        <w:t>б</w:t>
      </w:r>
      <w:r w:rsidRPr="00203014">
        <w:rPr>
          <w:sz w:val="28"/>
          <w:szCs w:val="28"/>
          <w:lang w:val="uk-UA"/>
        </w:rPr>
        <w:t>лікову чисельність штатних працівників. Ці факти мають позитивно вплинути на заг</w:t>
      </w:r>
      <w:r w:rsidRPr="00203014">
        <w:rPr>
          <w:sz w:val="28"/>
          <w:szCs w:val="28"/>
          <w:lang w:val="uk-UA"/>
        </w:rPr>
        <w:t>а</w:t>
      </w:r>
      <w:r w:rsidRPr="00203014">
        <w:rPr>
          <w:sz w:val="28"/>
          <w:szCs w:val="28"/>
          <w:lang w:val="uk-UA"/>
        </w:rPr>
        <w:t>льні показники діяльності промислового сектору міста та обсяг надходжень до бюдж</w:t>
      </w:r>
      <w:r w:rsidRPr="00203014">
        <w:rPr>
          <w:sz w:val="28"/>
          <w:szCs w:val="28"/>
          <w:lang w:val="uk-UA"/>
        </w:rPr>
        <w:t>е</w:t>
      </w:r>
      <w:r w:rsidRPr="00203014">
        <w:rPr>
          <w:sz w:val="28"/>
          <w:szCs w:val="28"/>
          <w:lang w:val="uk-UA"/>
        </w:rPr>
        <w:t>тів всіх рівнів.</w:t>
      </w:r>
    </w:p>
    <w:p w:rsidR="008D7806" w:rsidRPr="008D7806" w:rsidRDefault="008D7806" w:rsidP="00522F70">
      <w:pPr>
        <w:ind w:firstLine="709"/>
        <w:jc w:val="both"/>
        <w:rPr>
          <w:sz w:val="28"/>
          <w:szCs w:val="28"/>
          <w:lang w:val="uk-UA"/>
        </w:rPr>
      </w:pPr>
    </w:p>
    <w:p w:rsidR="00BA383D" w:rsidRPr="00571DAD" w:rsidRDefault="00664CF3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571DAD">
        <w:rPr>
          <w:b/>
          <w:bCs/>
          <w:i/>
          <w:iCs/>
          <w:sz w:val="28"/>
          <w:szCs w:val="28"/>
          <w:u w:val="single"/>
          <w:lang w:val="uk-UA"/>
        </w:rPr>
        <w:lastRenderedPageBreak/>
        <w:t>Будівництво</w:t>
      </w:r>
    </w:p>
    <w:p w:rsidR="00D0168E" w:rsidRPr="00571DAD" w:rsidRDefault="00BA383D" w:rsidP="00664CF3">
      <w:pPr>
        <w:ind w:firstLine="709"/>
        <w:jc w:val="both"/>
        <w:rPr>
          <w:sz w:val="28"/>
          <w:szCs w:val="28"/>
          <w:lang w:val="uk-UA"/>
        </w:rPr>
      </w:pPr>
      <w:r w:rsidRPr="00571DAD">
        <w:rPr>
          <w:sz w:val="28"/>
          <w:szCs w:val="28"/>
          <w:lang w:val="uk-UA"/>
        </w:rPr>
        <w:t>У 201</w:t>
      </w:r>
      <w:r w:rsidR="00522F70" w:rsidRPr="00571DAD">
        <w:rPr>
          <w:sz w:val="28"/>
          <w:szCs w:val="28"/>
          <w:lang w:val="uk-UA"/>
        </w:rPr>
        <w:t>7</w:t>
      </w:r>
      <w:r w:rsidR="00D0168E" w:rsidRPr="00571DAD">
        <w:rPr>
          <w:sz w:val="28"/>
          <w:szCs w:val="28"/>
          <w:lang w:val="uk-UA"/>
        </w:rPr>
        <w:t xml:space="preserve"> </w:t>
      </w:r>
      <w:r w:rsidRPr="00571DAD">
        <w:rPr>
          <w:sz w:val="28"/>
          <w:szCs w:val="28"/>
          <w:lang w:val="uk-UA"/>
        </w:rPr>
        <w:t>р. підприємства</w:t>
      </w:r>
      <w:r w:rsidR="00D0168E" w:rsidRPr="00571DAD">
        <w:rPr>
          <w:sz w:val="28"/>
          <w:szCs w:val="28"/>
          <w:lang w:val="uk-UA"/>
        </w:rPr>
        <w:t>ми міста</w:t>
      </w:r>
      <w:r w:rsidRPr="00571DAD">
        <w:rPr>
          <w:sz w:val="28"/>
          <w:szCs w:val="28"/>
          <w:lang w:val="uk-UA"/>
        </w:rPr>
        <w:t xml:space="preserve"> виконано будівельних робіт на суму </w:t>
      </w:r>
      <w:r w:rsidR="00522F70" w:rsidRPr="00571DAD">
        <w:rPr>
          <w:sz w:val="28"/>
          <w:szCs w:val="28"/>
          <w:lang w:val="uk-UA"/>
        </w:rPr>
        <w:t>103,6</w:t>
      </w:r>
      <w:r w:rsidRPr="00571DAD">
        <w:rPr>
          <w:sz w:val="28"/>
          <w:szCs w:val="28"/>
          <w:lang w:val="uk-UA"/>
        </w:rPr>
        <w:t xml:space="preserve"> </w:t>
      </w:r>
      <w:proofErr w:type="spellStart"/>
      <w:r w:rsidRPr="00571DAD">
        <w:rPr>
          <w:sz w:val="28"/>
          <w:szCs w:val="28"/>
          <w:lang w:val="uk-UA"/>
        </w:rPr>
        <w:t>млн.грн</w:t>
      </w:r>
      <w:proofErr w:type="spellEnd"/>
      <w:r w:rsidR="00D0168E" w:rsidRPr="00571DAD">
        <w:rPr>
          <w:sz w:val="28"/>
          <w:szCs w:val="28"/>
          <w:lang w:val="uk-UA"/>
        </w:rPr>
        <w:t xml:space="preserve">, що складає </w:t>
      </w:r>
      <w:r w:rsidR="00522F70" w:rsidRPr="00571DAD">
        <w:rPr>
          <w:sz w:val="28"/>
          <w:szCs w:val="28"/>
          <w:lang w:val="uk-UA"/>
        </w:rPr>
        <w:t>18</w:t>
      </w:r>
      <w:r w:rsidR="00D0168E" w:rsidRPr="00571DAD">
        <w:rPr>
          <w:sz w:val="28"/>
          <w:szCs w:val="28"/>
          <w:lang w:val="uk-UA"/>
        </w:rPr>
        <w:t>,</w:t>
      </w:r>
      <w:r w:rsidR="00522F70" w:rsidRPr="00571DAD">
        <w:rPr>
          <w:sz w:val="28"/>
          <w:szCs w:val="28"/>
          <w:lang w:val="uk-UA"/>
        </w:rPr>
        <w:t>0</w:t>
      </w:r>
      <w:r w:rsidR="00D0168E" w:rsidRPr="00571DAD">
        <w:rPr>
          <w:sz w:val="28"/>
          <w:szCs w:val="28"/>
          <w:lang w:val="uk-UA"/>
        </w:rPr>
        <w:t>% ві</w:t>
      </w:r>
      <w:r w:rsidR="00542EA2" w:rsidRPr="00571DAD">
        <w:rPr>
          <w:sz w:val="28"/>
          <w:szCs w:val="28"/>
          <w:lang w:val="uk-UA"/>
        </w:rPr>
        <w:t>д</w:t>
      </w:r>
      <w:r w:rsidR="00D0168E" w:rsidRPr="00571DAD">
        <w:rPr>
          <w:sz w:val="28"/>
          <w:szCs w:val="28"/>
          <w:lang w:val="uk-UA"/>
        </w:rPr>
        <w:t xml:space="preserve"> загального обсягу по Луганській області.</w:t>
      </w:r>
    </w:p>
    <w:p w:rsidR="00522F70" w:rsidRPr="00571DAD" w:rsidRDefault="00522F70" w:rsidP="00664CF3">
      <w:pPr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571DAD">
        <w:rPr>
          <w:sz w:val="28"/>
          <w:szCs w:val="28"/>
          <w:lang w:val="uk-UA"/>
        </w:rPr>
        <w:t xml:space="preserve">Загальна площа прийнятого в експлуатацію житлових будівель по місту склала 1912 </w:t>
      </w:r>
      <w:proofErr w:type="spellStart"/>
      <w:r w:rsidRPr="00571DAD">
        <w:rPr>
          <w:sz w:val="28"/>
          <w:szCs w:val="28"/>
          <w:lang w:val="uk-UA"/>
        </w:rPr>
        <w:t>кв.м</w:t>
      </w:r>
      <w:proofErr w:type="spellEnd"/>
      <w:r w:rsidRPr="00571DAD">
        <w:rPr>
          <w:sz w:val="28"/>
          <w:szCs w:val="28"/>
          <w:lang w:val="uk-UA"/>
        </w:rPr>
        <w:t>.</w:t>
      </w:r>
    </w:p>
    <w:p w:rsidR="00FE6E40" w:rsidRPr="00571DAD" w:rsidRDefault="00FE6E40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BA383D" w:rsidRPr="00571DAD" w:rsidRDefault="00664CF3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571DAD">
        <w:rPr>
          <w:b/>
          <w:bCs/>
          <w:i/>
          <w:iCs/>
          <w:sz w:val="28"/>
          <w:szCs w:val="28"/>
          <w:u w:val="single"/>
          <w:lang w:val="uk-UA"/>
        </w:rPr>
        <w:t>Транспорт</w:t>
      </w:r>
    </w:p>
    <w:p w:rsidR="00542EA2" w:rsidRPr="00571DAD" w:rsidRDefault="00BA383D" w:rsidP="00664CF3">
      <w:pPr>
        <w:ind w:firstLine="709"/>
        <w:jc w:val="both"/>
        <w:rPr>
          <w:sz w:val="28"/>
          <w:szCs w:val="28"/>
          <w:lang w:val="uk-UA"/>
        </w:rPr>
      </w:pPr>
      <w:r w:rsidRPr="00571DAD">
        <w:rPr>
          <w:sz w:val="28"/>
          <w:szCs w:val="28"/>
          <w:lang w:val="uk-UA"/>
        </w:rPr>
        <w:t>У 201</w:t>
      </w:r>
      <w:r w:rsidR="00522F70" w:rsidRPr="00571DAD">
        <w:rPr>
          <w:sz w:val="28"/>
          <w:szCs w:val="28"/>
          <w:lang w:val="uk-UA"/>
        </w:rPr>
        <w:t>7</w:t>
      </w:r>
      <w:r w:rsidR="00BB7867" w:rsidRPr="00571DAD">
        <w:rPr>
          <w:sz w:val="28"/>
          <w:szCs w:val="28"/>
          <w:lang w:val="uk-UA"/>
        </w:rPr>
        <w:t xml:space="preserve"> </w:t>
      </w:r>
      <w:r w:rsidRPr="00571DAD">
        <w:rPr>
          <w:sz w:val="28"/>
          <w:szCs w:val="28"/>
          <w:lang w:val="uk-UA"/>
        </w:rPr>
        <w:t xml:space="preserve">р. </w:t>
      </w:r>
      <w:proofErr w:type="spellStart"/>
      <w:r w:rsidRPr="00571DAD">
        <w:rPr>
          <w:sz w:val="28"/>
          <w:szCs w:val="28"/>
          <w:lang w:val="uk-UA"/>
        </w:rPr>
        <w:t>вантажооборот</w:t>
      </w:r>
      <w:proofErr w:type="spellEnd"/>
      <w:r w:rsidRPr="00571DAD">
        <w:rPr>
          <w:sz w:val="28"/>
          <w:szCs w:val="28"/>
          <w:lang w:val="uk-UA"/>
        </w:rPr>
        <w:t xml:space="preserve"> підприємств автомобільного транспорту) становив</w:t>
      </w:r>
      <w:r w:rsidR="00542EA2" w:rsidRPr="00571DAD">
        <w:rPr>
          <w:sz w:val="28"/>
          <w:szCs w:val="28"/>
          <w:lang w:val="uk-UA"/>
        </w:rPr>
        <w:t xml:space="preserve"> </w:t>
      </w:r>
      <w:r w:rsidR="00522F70" w:rsidRPr="00571DAD">
        <w:rPr>
          <w:sz w:val="28"/>
          <w:szCs w:val="28"/>
          <w:lang w:val="uk-UA"/>
        </w:rPr>
        <w:t>4,0</w:t>
      </w:r>
      <w:r w:rsidRPr="00571DAD">
        <w:rPr>
          <w:sz w:val="28"/>
          <w:szCs w:val="28"/>
          <w:lang w:val="uk-UA" w:eastAsia="en-US"/>
        </w:rPr>
        <w:t xml:space="preserve"> </w:t>
      </w:r>
      <w:r w:rsidRPr="00571DAD">
        <w:rPr>
          <w:sz w:val="28"/>
          <w:szCs w:val="28"/>
          <w:lang w:val="uk-UA"/>
        </w:rPr>
        <w:t>млн.</w:t>
      </w:r>
      <w:r w:rsidR="00E8520D" w:rsidRPr="00571DAD">
        <w:rPr>
          <w:sz w:val="28"/>
          <w:szCs w:val="28"/>
          <w:lang w:val="uk-UA"/>
        </w:rPr>
        <w:t xml:space="preserve"> </w:t>
      </w:r>
      <w:proofErr w:type="spellStart"/>
      <w:r w:rsidRPr="00571DAD">
        <w:rPr>
          <w:sz w:val="28"/>
          <w:szCs w:val="28"/>
          <w:lang w:val="uk-UA"/>
        </w:rPr>
        <w:t>ткм</w:t>
      </w:r>
      <w:proofErr w:type="spellEnd"/>
      <w:r w:rsidRPr="00571DAD">
        <w:rPr>
          <w:sz w:val="28"/>
          <w:szCs w:val="28"/>
          <w:lang w:val="uk-UA"/>
        </w:rPr>
        <w:t xml:space="preserve">, </w:t>
      </w:r>
      <w:r w:rsidR="00E8520D" w:rsidRPr="00571DAD">
        <w:rPr>
          <w:sz w:val="28"/>
          <w:szCs w:val="28"/>
          <w:lang w:val="uk-UA"/>
        </w:rPr>
        <w:t>щ</w:t>
      </w:r>
      <w:r w:rsidR="00542EA2" w:rsidRPr="00571DAD">
        <w:rPr>
          <w:sz w:val="28"/>
          <w:szCs w:val="28"/>
          <w:lang w:val="uk-UA"/>
        </w:rPr>
        <w:t xml:space="preserve">о складає </w:t>
      </w:r>
      <w:r w:rsidR="00522F70" w:rsidRPr="00571DAD">
        <w:rPr>
          <w:sz w:val="28"/>
          <w:szCs w:val="28"/>
          <w:lang w:val="uk-UA"/>
        </w:rPr>
        <w:t>144,6</w:t>
      </w:r>
      <w:r w:rsidR="00BB7867" w:rsidRPr="00571DAD">
        <w:rPr>
          <w:sz w:val="28"/>
          <w:szCs w:val="28"/>
          <w:lang w:val="uk-UA"/>
        </w:rPr>
        <w:t>%</w:t>
      </w:r>
      <w:r w:rsidR="00D224BD" w:rsidRPr="00571DAD">
        <w:rPr>
          <w:sz w:val="28"/>
          <w:szCs w:val="28"/>
          <w:lang w:val="uk-UA"/>
        </w:rPr>
        <w:t xml:space="preserve"> </w:t>
      </w:r>
      <w:r w:rsidR="00E8520D" w:rsidRPr="00571DAD">
        <w:rPr>
          <w:sz w:val="28"/>
          <w:szCs w:val="28"/>
          <w:lang w:val="uk-UA"/>
        </w:rPr>
        <w:t>від аналогічного показника</w:t>
      </w:r>
      <w:r w:rsidR="00BB7867" w:rsidRPr="00571DAD">
        <w:rPr>
          <w:sz w:val="28"/>
          <w:szCs w:val="28"/>
          <w:lang w:val="uk-UA"/>
        </w:rPr>
        <w:t xml:space="preserve"> 201</w:t>
      </w:r>
      <w:r w:rsidR="00522F70" w:rsidRPr="00571DAD">
        <w:rPr>
          <w:sz w:val="28"/>
          <w:szCs w:val="28"/>
          <w:lang w:val="uk-UA"/>
        </w:rPr>
        <w:t>6</w:t>
      </w:r>
      <w:r w:rsidR="00BB7867" w:rsidRPr="00571DAD">
        <w:rPr>
          <w:sz w:val="28"/>
          <w:szCs w:val="28"/>
          <w:lang w:val="uk-UA"/>
        </w:rPr>
        <w:t xml:space="preserve"> року.</w:t>
      </w:r>
      <w:r w:rsidR="00542EA2" w:rsidRPr="00571DAD">
        <w:rPr>
          <w:sz w:val="28"/>
          <w:szCs w:val="28"/>
          <w:lang w:val="uk-UA"/>
        </w:rPr>
        <w:t xml:space="preserve"> </w:t>
      </w:r>
    </w:p>
    <w:p w:rsidR="00BA383D" w:rsidRPr="00571DAD" w:rsidRDefault="00E8520D" w:rsidP="00664CF3">
      <w:pPr>
        <w:ind w:firstLine="709"/>
        <w:jc w:val="both"/>
        <w:rPr>
          <w:sz w:val="28"/>
          <w:szCs w:val="28"/>
          <w:lang w:val="uk-UA"/>
        </w:rPr>
      </w:pPr>
      <w:r w:rsidRPr="00571DAD">
        <w:rPr>
          <w:sz w:val="28"/>
          <w:szCs w:val="28"/>
          <w:lang w:val="uk-UA"/>
        </w:rPr>
        <w:t>Вс</w:t>
      </w:r>
      <w:r w:rsidR="00BA383D" w:rsidRPr="00571DAD">
        <w:rPr>
          <w:sz w:val="28"/>
          <w:szCs w:val="28"/>
          <w:lang w:val="uk-UA"/>
        </w:rPr>
        <w:t xml:space="preserve">іма видами транспорту виконано пасажирооборот в обсязі </w:t>
      </w:r>
      <w:r w:rsidR="00BB7867" w:rsidRPr="00571DAD">
        <w:rPr>
          <w:sz w:val="28"/>
          <w:szCs w:val="28"/>
          <w:lang w:val="uk-UA"/>
        </w:rPr>
        <w:t>1</w:t>
      </w:r>
      <w:r w:rsidR="000A4C73" w:rsidRPr="00571DAD">
        <w:rPr>
          <w:sz w:val="28"/>
          <w:szCs w:val="28"/>
          <w:lang w:val="uk-UA"/>
        </w:rPr>
        <w:t>33,5</w:t>
      </w:r>
      <w:r w:rsidR="00BA383D" w:rsidRPr="00571DAD">
        <w:rPr>
          <w:sz w:val="28"/>
          <w:szCs w:val="28"/>
          <w:lang w:val="uk-UA"/>
        </w:rPr>
        <w:t xml:space="preserve"> млн.</w:t>
      </w:r>
      <w:r w:rsidRPr="00571DAD">
        <w:rPr>
          <w:sz w:val="28"/>
          <w:szCs w:val="28"/>
          <w:lang w:val="uk-UA"/>
        </w:rPr>
        <w:t xml:space="preserve"> </w:t>
      </w:r>
      <w:r w:rsidR="00BA383D" w:rsidRPr="00571DAD">
        <w:rPr>
          <w:sz w:val="28"/>
          <w:szCs w:val="28"/>
          <w:lang w:val="uk-UA"/>
        </w:rPr>
        <w:t>пас.</w:t>
      </w:r>
      <w:r w:rsidRPr="00571DAD">
        <w:rPr>
          <w:sz w:val="28"/>
          <w:szCs w:val="28"/>
          <w:lang w:val="uk-UA"/>
        </w:rPr>
        <w:t xml:space="preserve"> </w:t>
      </w:r>
      <w:r w:rsidR="00BA383D" w:rsidRPr="00571DAD">
        <w:rPr>
          <w:sz w:val="28"/>
          <w:szCs w:val="28"/>
          <w:lang w:val="uk-UA"/>
        </w:rPr>
        <w:t>км,</w:t>
      </w:r>
      <w:r w:rsidRPr="00571DAD">
        <w:rPr>
          <w:sz w:val="28"/>
          <w:szCs w:val="28"/>
          <w:lang w:val="uk-UA"/>
        </w:rPr>
        <w:t xml:space="preserve"> </w:t>
      </w:r>
      <w:r w:rsidR="00BB7867" w:rsidRPr="00571DAD">
        <w:rPr>
          <w:sz w:val="28"/>
          <w:szCs w:val="28"/>
          <w:lang w:val="uk-UA"/>
        </w:rPr>
        <w:t>що складає 1</w:t>
      </w:r>
      <w:r w:rsidR="000A4C73" w:rsidRPr="00571DAD">
        <w:rPr>
          <w:sz w:val="28"/>
          <w:szCs w:val="28"/>
          <w:lang w:val="uk-UA"/>
        </w:rPr>
        <w:t>12,7%</w:t>
      </w:r>
      <w:r w:rsidR="00BB7867" w:rsidRPr="00571DAD">
        <w:rPr>
          <w:sz w:val="28"/>
          <w:szCs w:val="28"/>
          <w:lang w:val="uk-UA"/>
        </w:rPr>
        <w:t xml:space="preserve"> </w:t>
      </w:r>
      <w:r w:rsidR="00D224BD" w:rsidRPr="00571DAD">
        <w:rPr>
          <w:sz w:val="28"/>
          <w:szCs w:val="28"/>
          <w:lang w:val="uk-UA"/>
        </w:rPr>
        <w:t>від обсягу</w:t>
      </w:r>
      <w:r w:rsidR="00BB7867" w:rsidRPr="00571DAD">
        <w:rPr>
          <w:sz w:val="28"/>
          <w:szCs w:val="28"/>
          <w:lang w:val="uk-UA"/>
        </w:rPr>
        <w:t xml:space="preserve"> 201</w:t>
      </w:r>
      <w:r w:rsidR="000A4C73" w:rsidRPr="00571DAD">
        <w:rPr>
          <w:sz w:val="28"/>
          <w:szCs w:val="28"/>
          <w:lang w:val="uk-UA"/>
        </w:rPr>
        <w:t>6</w:t>
      </w:r>
      <w:r w:rsidR="00BB7867" w:rsidRPr="00571DAD">
        <w:rPr>
          <w:sz w:val="28"/>
          <w:szCs w:val="28"/>
          <w:lang w:val="uk-UA"/>
        </w:rPr>
        <w:t xml:space="preserve"> року,</w:t>
      </w:r>
      <w:r w:rsidR="00BA383D" w:rsidRPr="00571DAD">
        <w:rPr>
          <w:sz w:val="28"/>
          <w:szCs w:val="28"/>
          <w:lang w:val="uk-UA"/>
        </w:rPr>
        <w:t xml:space="preserve"> послугами пасажирського транспорту скор</w:t>
      </w:r>
      <w:r w:rsidR="00BA383D" w:rsidRPr="00571DAD">
        <w:rPr>
          <w:sz w:val="28"/>
          <w:szCs w:val="28"/>
          <w:lang w:val="uk-UA"/>
        </w:rPr>
        <w:t>и</w:t>
      </w:r>
      <w:r w:rsidR="00BA383D" w:rsidRPr="00571DAD">
        <w:rPr>
          <w:sz w:val="28"/>
          <w:szCs w:val="28"/>
          <w:lang w:val="uk-UA"/>
        </w:rPr>
        <w:t xml:space="preserve">сталося </w:t>
      </w:r>
      <w:r w:rsidR="000A4C73" w:rsidRPr="00571DAD">
        <w:rPr>
          <w:sz w:val="28"/>
          <w:szCs w:val="28"/>
          <w:lang w:val="uk-UA"/>
        </w:rPr>
        <w:t>3701,3</w:t>
      </w:r>
      <w:r w:rsidR="00BA383D" w:rsidRPr="00571DAD">
        <w:rPr>
          <w:sz w:val="28"/>
          <w:szCs w:val="28"/>
          <w:lang w:val="uk-UA"/>
        </w:rPr>
        <w:t xml:space="preserve"> тис.</w:t>
      </w:r>
      <w:r w:rsidRPr="00571DAD">
        <w:rPr>
          <w:sz w:val="28"/>
          <w:szCs w:val="28"/>
          <w:lang w:val="uk-UA"/>
        </w:rPr>
        <w:t xml:space="preserve"> </w:t>
      </w:r>
      <w:r w:rsidR="00BA383D" w:rsidRPr="00571DAD">
        <w:rPr>
          <w:sz w:val="28"/>
          <w:szCs w:val="28"/>
          <w:lang w:val="uk-UA"/>
        </w:rPr>
        <w:t xml:space="preserve">пасажирів, </w:t>
      </w:r>
      <w:r w:rsidR="00BB7867" w:rsidRPr="00571DAD">
        <w:rPr>
          <w:sz w:val="28"/>
          <w:szCs w:val="28"/>
          <w:lang w:val="uk-UA"/>
        </w:rPr>
        <w:t>що складає</w:t>
      </w:r>
      <w:r w:rsidR="00BA383D" w:rsidRPr="00571DAD">
        <w:rPr>
          <w:sz w:val="28"/>
          <w:szCs w:val="28"/>
          <w:lang w:val="uk-UA"/>
        </w:rPr>
        <w:t xml:space="preserve"> </w:t>
      </w:r>
      <w:r w:rsidR="000A4C73" w:rsidRPr="00571DAD">
        <w:rPr>
          <w:sz w:val="28"/>
          <w:szCs w:val="28"/>
          <w:lang w:val="uk-UA"/>
        </w:rPr>
        <w:t>59,4</w:t>
      </w:r>
      <w:r w:rsidR="00BA383D" w:rsidRPr="00571DAD">
        <w:rPr>
          <w:sz w:val="28"/>
          <w:szCs w:val="28"/>
          <w:lang w:val="uk-UA"/>
        </w:rPr>
        <w:t>% від</w:t>
      </w:r>
      <w:r w:rsidR="000A4C73" w:rsidRPr="00571DAD">
        <w:rPr>
          <w:sz w:val="28"/>
          <w:szCs w:val="28"/>
          <w:lang w:val="uk-UA"/>
        </w:rPr>
        <w:t xml:space="preserve"> аналогічного періоду </w:t>
      </w:r>
      <w:r w:rsidR="00BA383D" w:rsidRPr="00571DAD">
        <w:rPr>
          <w:sz w:val="28"/>
          <w:szCs w:val="28"/>
          <w:lang w:val="uk-UA"/>
        </w:rPr>
        <w:t>201</w:t>
      </w:r>
      <w:r w:rsidR="000A4C73" w:rsidRPr="00571DAD">
        <w:rPr>
          <w:sz w:val="28"/>
          <w:szCs w:val="28"/>
          <w:lang w:val="uk-UA"/>
        </w:rPr>
        <w:t>6</w:t>
      </w:r>
      <w:r w:rsidR="00BB7867" w:rsidRPr="00571DAD">
        <w:rPr>
          <w:sz w:val="28"/>
          <w:szCs w:val="28"/>
          <w:lang w:val="uk-UA"/>
        </w:rPr>
        <w:t xml:space="preserve"> </w:t>
      </w:r>
      <w:r w:rsidR="00BA383D" w:rsidRPr="00571DAD">
        <w:rPr>
          <w:sz w:val="28"/>
          <w:szCs w:val="28"/>
          <w:lang w:val="uk-UA"/>
        </w:rPr>
        <w:t>р.</w:t>
      </w:r>
    </w:p>
    <w:p w:rsidR="007611F0" w:rsidRPr="00571DAD" w:rsidRDefault="007611F0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7611F0" w:rsidRPr="00571DAD" w:rsidRDefault="007611F0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571DAD">
        <w:rPr>
          <w:b/>
          <w:bCs/>
          <w:i/>
          <w:iCs/>
          <w:sz w:val="28"/>
          <w:szCs w:val="28"/>
          <w:u w:val="single"/>
          <w:lang w:val="uk-UA"/>
        </w:rPr>
        <w:t>Капітальні інвестиції</w:t>
      </w:r>
    </w:p>
    <w:p w:rsidR="004D3708" w:rsidRPr="00571DAD" w:rsidRDefault="007611F0" w:rsidP="00664CF3">
      <w:pPr>
        <w:ind w:firstLine="709"/>
        <w:jc w:val="both"/>
        <w:rPr>
          <w:sz w:val="28"/>
          <w:szCs w:val="28"/>
          <w:lang w:val="uk-UA"/>
        </w:rPr>
      </w:pPr>
      <w:r w:rsidRPr="00571DAD">
        <w:rPr>
          <w:sz w:val="28"/>
          <w:szCs w:val="28"/>
          <w:lang w:val="uk-UA"/>
        </w:rPr>
        <w:t>У 201</w:t>
      </w:r>
      <w:r w:rsidR="004D3708" w:rsidRPr="00571DAD">
        <w:rPr>
          <w:sz w:val="28"/>
          <w:szCs w:val="28"/>
          <w:lang w:val="uk-UA"/>
        </w:rPr>
        <w:t>7</w:t>
      </w:r>
      <w:r w:rsidRPr="00571DAD">
        <w:rPr>
          <w:sz w:val="28"/>
          <w:szCs w:val="28"/>
          <w:lang w:val="uk-UA"/>
        </w:rPr>
        <w:t xml:space="preserve"> році підприємствами та організаціями за рахунок усіх джерел фінанс</w:t>
      </w:r>
      <w:r w:rsidRPr="00571DAD">
        <w:rPr>
          <w:sz w:val="28"/>
          <w:szCs w:val="28"/>
          <w:lang w:val="uk-UA"/>
        </w:rPr>
        <w:t>у</w:t>
      </w:r>
      <w:r w:rsidRPr="00571DAD">
        <w:rPr>
          <w:sz w:val="28"/>
          <w:szCs w:val="28"/>
          <w:lang w:val="uk-UA"/>
        </w:rPr>
        <w:t xml:space="preserve">вання освоєно </w:t>
      </w:r>
      <w:r w:rsidR="004D3708" w:rsidRPr="00571DAD">
        <w:rPr>
          <w:sz w:val="28"/>
          <w:szCs w:val="28"/>
          <w:lang w:val="uk-UA"/>
        </w:rPr>
        <w:t>215,4</w:t>
      </w:r>
      <w:r w:rsidRPr="00571DAD">
        <w:rPr>
          <w:sz w:val="28"/>
          <w:szCs w:val="28"/>
          <w:lang w:val="uk-UA"/>
        </w:rPr>
        <w:t xml:space="preserve"> млн. </w:t>
      </w:r>
      <w:proofErr w:type="spellStart"/>
      <w:r w:rsidRPr="00571DAD">
        <w:rPr>
          <w:sz w:val="28"/>
          <w:szCs w:val="28"/>
          <w:lang w:val="uk-UA"/>
        </w:rPr>
        <w:t>грн</w:t>
      </w:r>
      <w:proofErr w:type="spellEnd"/>
      <w:r w:rsidRPr="00571DAD">
        <w:rPr>
          <w:sz w:val="28"/>
          <w:szCs w:val="28"/>
          <w:lang w:val="uk-UA"/>
        </w:rPr>
        <w:t xml:space="preserve"> капітальних інвестицій, що складає </w:t>
      </w:r>
      <w:r w:rsidR="004D3708" w:rsidRPr="00571DAD">
        <w:rPr>
          <w:sz w:val="28"/>
          <w:szCs w:val="28"/>
          <w:lang w:val="uk-UA"/>
        </w:rPr>
        <w:t>7</w:t>
      </w:r>
      <w:r w:rsidRPr="00571DAD">
        <w:rPr>
          <w:sz w:val="28"/>
          <w:szCs w:val="28"/>
          <w:lang w:val="uk-UA"/>
        </w:rPr>
        <w:t>,</w:t>
      </w:r>
      <w:r w:rsidR="004D3708" w:rsidRPr="00571DAD">
        <w:rPr>
          <w:sz w:val="28"/>
          <w:szCs w:val="28"/>
          <w:lang w:val="uk-UA"/>
        </w:rPr>
        <w:t>1</w:t>
      </w:r>
      <w:r w:rsidRPr="00571DAD">
        <w:rPr>
          <w:sz w:val="28"/>
          <w:szCs w:val="28"/>
          <w:lang w:val="uk-UA"/>
        </w:rPr>
        <w:t>% від загального обсягу по</w:t>
      </w:r>
      <w:r w:rsidR="0049679F" w:rsidRPr="00571DAD">
        <w:rPr>
          <w:sz w:val="28"/>
          <w:szCs w:val="28"/>
          <w:lang w:val="uk-UA"/>
        </w:rPr>
        <w:t xml:space="preserve"> </w:t>
      </w:r>
      <w:r w:rsidRPr="00571DAD">
        <w:rPr>
          <w:sz w:val="28"/>
          <w:szCs w:val="28"/>
          <w:lang w:val="uk-UA"/>
        </w:rPr>
        <w:t>Луганській області.</w:t>
      </w:r>
      <w:r w:rsidR="004D3708" w:rsidRPr="00571DAD">
        <w:rPr>
          <w:sz w:val="28"/>
          <w:szCs w:val="28"/>
          <w:lang w:val="uk-UA"/>
        </w:rPr>
        <w:t xml:space="preserve"> </w:t>
      </w:r>
    </w:p>
    <w:p w:rsidR="007611F0" w:rsidRPr="00571DAD" w:rsidRDefault="004D3708" w:rsidP="00664CF3">
      <w:pPr>
        <w:ind w:firstLine="709"/>
        <w:jc w:val="both"/>
        <w:rPr>
          <w:sz w:val="28"/>
          <w:szCs w:val="28"/>
          <w:lang w:val="uk-UA"/>
        </w:rPr>
      </w:pPr>
      <w:r w:rsidRPr="00571DAD">
        <w:rPr>
          <w:sz w:val="28"/>
          <w:szCs w:val="28"/>
          <w:lang w:val="uk-UA"/>
        </w:rPr>
        <w:t>Капітальні інвестиції у 2017 році на 1 особу складали 1868,9 грн.</w:t>
      </w:r>
    </w:p>
    <w:p w:rsidR="007611F0" w:rsidRPr="00664CF3" w:rsidRDefault="007611F0" w:rsidP="00664CF3">
      <w:pPr>
        <w:jc w:val="both"/>
        <w:rPr>
          <w:b/>
          <w:bCs/>
          <w:i/>
          <w:iCs/>
          <w:sz w:val="22"/>
          <w:szCs w:val="22"/>
          <w:u w:val="single"/>
          <w:lang w:val="uk-UA"/>
        </w:rPr>
      </w:pPr>
    </w:p>
    <w:p w:rsidR="007753B0" w:rsidRPr="00E8520D" w:rsidRDefault="007753B0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>Підприємництво</w:t>
      </w:r>
    </w:p>
    <w:p w:rsidR="00843EDC" w:rsidRPr="00203014" w:rsidRDefault="00843EDC" w:rsidP="00843EDC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У теперішній ситуації мале та середнє підприємництво є важливим сектором економіки, який сприяє вирішенню багатьох соціальних проблем, насамперед, забе</w:t>
      </w:r>
      <w:r w:rsidRPr="00203014">
        <w:rPr>
          <w:sz w:val="28"/>
          <w:szCs w:val="28"/>
          <w:lang w:val="uk-UA"/>
        </w:rPr>
        <w:t>з</w:t>
      </w:r>
      <w:r w:rsidRPr="00203014">
        <w:rPr>
          <w:sz w:val="28"/>
          <w:szCs w:val="28"/>
          <w:lang w:val="uk-UA"/>
        </w:rPr>
        <w:t>печує зайнятість населення, створення нових робочих місць, зменшення безробіття, насичення ринку необхідними товарами та послугами, створення здорової конкуренції, яка сприятливо впливає на розвиток економіки.</w:t>
      </w:r>
    </w:p>
    <w:p w:rsidR="00843EDC" w:rsidRPr="00203014" w:rsidRDefault="00843EDC" w:rsidP="00843EDC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Кількість зареєстрованих фізичних осіб-підприємців в м. Лисичанську має те</w:t>
      </w:r>
      <w:r w:rsidRPr="00203014">
        <w:rPr>
          <w:sz w:val="28"/>
          <w:szCs w:val="28"/>
          <w:lang w:val="uk-UA"/>
        </w:rPr>
        <w:t>н</w:t>
      </w:r>
      <w:r w:rsidRPr="00203014">
        <w:rPr>
          <w:sz w:val="28"/>
          <w:szCs w:val="28"/>
          <w:lang w:val="uk-UA"/>
        </w:rPr>
        <w:t>денцію до зростання. Станом на 01.01.2018 було зареєстровано 4 330 ФОП, що на 353 особи, або на 8,88% більше ніж на 01.01.2017. Надходження до бюджетів усіх рівнів від фізичних осіб-підприємців за рік зросли на 70,8%, що пояснюється зростанням м</w:t>
      </w:r>
      <w:r w:rsidRPr="00203014">
        <w:rPr>
          <w:sz w:val="28"/>
          <w:szCs w:val="28"/>
          <w:lang w:val="uk-UA"/>
        </w:rPr>
        <w:t>і</w:t>
      </w:r>
      <w:r w:rsidRPr="00203014">
        <w:rPr>
          <w:sz w:val="28"/>
          <w:szCs w:val="28"/>
          <w:lang w:val="uk-UA"/>
        </w:rPr>
        <w:t>німальної заробітної плати та змінами Податкового кодексу України.</w:t>
      </w:r>
    </w:p>
    <w:p w:rsidR="00843EDC" w:rsidRPr="00203014" w:rsidRDefault="00843EDC" w:rsidP="00843EDC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Формування інфраструктури підтримки підприємництва відстає від темпів ро</w:t>
      </w:r>
      <w:r w:rsidRPr="00203014">
        <w:rPr>
          <w:sz w:val="28"/>
          <w:szCs w:val="28"/>
          <w:lang w:val="uk-UA"/>
        </w:rPr>
        <w:t>з</w:t>
      </w:r>
      <w:r w:rsidRPr="00203014">
        <w:rPr>
          <w:sz w:val="28"/>
          <w:szCs w:val="28"/>
          <w:lang w:val="uk-UA"/>
        </w:rPr>
        <w:t>витку малого та середнього підприємництва, а якість, рівень та асортимент послуг не завжди відповідають потребам підприємців. Кількість об’єктів інфраструктури міста Лисичанськ на 01.01.2018 року нараховує 10 одиницю, зокрема: 1 бізнес-центр, 5 і</w:t>
      </w:r>
      <w:r w:rsidRPr="00203014">
        <w:rPr>
          <w:sz w:val="28"/>
          <w:szCs w:val="28"/>
          <w:lang w:val="uk-UA"/>
        </w:rPr>
        <w:t>н</w:t>
      </w:r>
      <w:r w:rsidRPr="00203014">
        <w:rPr>
          <w:sz w:val="28"/>
          <w:szCs w:val="28"/>
          <w:lang w:val="uk-UA"/>
        </w:rPr>
        <w:t>формаційно-консультативних центрів, 4 громадських об’єднань підприємців.</w:t>
      </w:r>
    </w:p>
    <w:p w:rsidR="00843EDC" w:rsidRPr="00203014" w:rsidRDefault="00843EDC" w:rsidP="00843EDC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Також у місті існує індустріальний парк «Лисичанськ», центр надання адмініс</w:t>
      </w:r>
      <w:r w:rsidRPr="00203014">
        <w:rPr>
          <w:sz w:val="28"/>
          <w:szCs w:val="28"/>
          <w:lang w:val="uk-UA"/>
        </w:rPr>
        <w:t>т</w:t>
      </w:r>
      <w:r w:rsidRPr="00203014">
        <w:rPr>
          <w:sz w:val="28"/>
          <w:szCs w:val="28"/>
          <w:lang w:val="uk-UA"/>
        </w:rPr>
        <w:t>ративних послуг, кредитні спілки, аудиторські фірми та філії страхових компаній. М</w:t>
      </w:r>
      <w:r w:rsidRPr="00203014">
        <w:rPr>
          <w:sz w:val="28"/>
          <w:szCs w:val="28"/>
          <w:lang w:val="uk-UA"/>
        </w:rPr>
        <w:t>і</w:t>
      </w:r>
      <w:r w:rsidRPr="00203014">
        <w:rPr>
          <w:sz w:val="28"/>
          <w:szCs w:val="28"/>
          <w:lang w:val="uk-UA"/>
        </w:rPr>
        <w:t>сту бракує повноцінних бізнес-інкубатору і бізнес-школи, які б підтримували підпри</w:t>
      </w:r>
      <w:r w:rsidRPr="00203014">
        <w:rPr>
          <w:sz w:val="28"/>
          <w:szCs w:val="28"/>
          <w:lang w:val="uk-UA"/>
        </w:rPr>
        <w:t>є</w:t>
      </w:r>
      <w:r w:rsidRPr="00203014">
        <w:rPr>
          <w:sz w:val="28"/>
          <w:szCs w:val="28"/>
          <w:lang w:val="uk-UA"/>
        </w:rPr>
        <w:t>мців особливо на стадії започаткування бізнесу. Крім того, необхідно підвищувати р</w:t>
      </w:r>
      <w:r w:rsidRPr="00203014">
        <w:rPr>
          <w:sz w:val="28"/>
          <w:szCs w:val="28"/>
          <w:lang w:val="uk-UA"/>
        </w:rPr>
        <w:t>і</w:t>
      </w:r>
      <w:r w:rsidRPr="00203014">
        <w:rPr>
          <w:sz w:val="28"/>
          <w:szCs w:val="28"/>
          <w:lang w:val="uk-UA"/>
        </w:rPr>
        <w:t>вень самоорганізації підприємців, утворення ними професійних об’єднання, що будуть стимулювати загальний розвиток їх сфер діяльності у місті та популяризувати підпр</w:t>
      </w:r>
      <w:r w:rsidRPr="00203014">
        <w:rPr>
          <w:sz w:val="28"/>
          <w:szCs w:val="28"/>
          <w:lang w:val="uk-UA"/>
        </w:rPr>
        <w:t>и</w:t>
      </w:r>
      <w:r w:rsidRPr="00203014">
        <w:rPr>
          <w:sz w:val="28"/>
          <w:szCs w:val="28"/>
          <w:lang w:val="uk-UA"/>
        </w:rPr>
        <w:t>ємництво, змінювати на краще громадську думку.</w:t>
      </w:r>
    </w:p>
    <w:p w:rsidR="00843EDC" w:rsidRDefault="00843EDC" w:rsidP="00664CF3">
      <w:pPr>
        <w:widowControl w:val="0"/>
        <w:tabs>
          <w:tab w:val="left" w:pos="1276"/>
        </w:tabs>
        <w:suppressAutoHyphens/>
        <w:ind w:firstLine="709"/>
        <w:jc w:val="both"/>
        <w:rPr>
          <w:lang w:val="uk-UA"/>
        </w:rPr>
      </w:pPr>
    </w:p>
    <w:p w:rsidR="00843EDC" w:rsidRDefault="00843EDC" w:rsidP="00664CF3">
      <w:pPr>
        <w:widowControl w:val="0"/>
        <w:tabs>
          <w:tab w:val="left" w:pos="1276"/>
        </w:tabs>
        <w:suppressAutoHyphens/>
        <w:ind w:firstLine="709"/>
        <w:jc w:val="both"/>
        <w:rPr>
          <w:lang w:val="uk-UA"/>
        </w:rPr>
      </w:pPr>
    </w:p>
    <w:p w:rsidR="007753B0" w:rsidRDefault="007753B0" w:rsidP="00664CF3">
      <w:pPr>
        <w:jc w:val="both"/>
        <w:rPr>
          <w:b/>
          <w:bCs/>
          <w:i/>
          <w:iCs/>
          <w:sz w:val="22"/>
          <w:szCs w:val="22"/>
          <w:u w:val="single"/>
          <w:lang w:val="uk-UA"/>
        </w:rPr>
      </w:pPr>
    </w:p>
    <w:p w:rsidR="00843EDC" w:rsidRDefault="00843EDC" w:rsidP="00664CF3">
      <w:pPr>
        <w:jc w:val="both"/>
        <w:rPr>
          <w:b/>
          <w:bCs/>
          <w:i/>
          <w:iCs/>
          <w:sz w:val="22"/>
          <w:szCs w:val="22"/>
          <w:u w:val="single"/>
          <w:lang w:val="uk-UA"/>
        </w:rPr>
      </w:pPr>
    </w:p>
    <w:p w:rsidR="00843EDC" w:rsidRDefault="00843EDC" w:rsidP="00664CF3">
      <w:pPr>
        <w:jc w:val="both"/>
        <w:rPr>
          <w:b/>
          <w:bCs/>
          <w:i/>
          <w:iCs/>
          <w:sz w:val="22"/>
          <w:szCs w:val="22"/>
          <w:u w:val="single"/>
          <w:lang w:val="uk-UA"/>
        </w:rPr>
      </w:pPr>
    </w:p>
    <w:p w:rsidR="00843EDC" w:rsidRPr="00664CF3" w:rsidRDefault="00843EDC" w:rsidP="00664CF3">
      <w:pPr>
        <w:jc w:val="both"/>
        <w:rPr>
          <w:b/>
          <w:bCs/>
          <w:i/>
          <w:iCs/>
          <w:sz w:val="22"/>
          <w:szCs w:val="22"/>
          <w:u w:val="single"/>
          <w:lang w:val="uk-UA"/>
        </w:rPr>
      </w:pPr>
    </w:p>
    <w:p w:rsidR="00D1682A" w:rsidRDefault="00D1682A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lastRenderedPageBreak/>
        <w:t>Споживчий ринок</w:t>
      </w:r>
    </w:p>
    <w:p w:rsidR="00F06E74" w:rsidRPr="00203014" w:rsidRDefault="00F06E74" w:rsidP="00F06E74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За своїм призначенням споживчий ринок виконує багатогранні функції життєз</w:t>
      </w:r>
      <w:r w:rsidRPr="00203014">
        <w:rPr>
          <w:sz w:val="28"/>
          <w:szCs w:val="28"/>
          <w:lang w:val="uk-UA"/>
        </w:rPr>
        <w:t>а</w:t>
      </w:r>
      <w:r w:rsidRPr="00203014">
        <w:rPr>
          <w:sz w:val="28"/>
          <w:szCs w:val="28"/>
          <w:lang w:val="uk-UA"/>
        </w:rPr>
        <w:t>безпечення населення, а саме - задоволення найнеобхідніших потреб людини.</w:t>
      </w:r>
    </w:p>
    <w:p w:rsidR="00F06E74" w:rsidRPr="00203014" w:rsidRDefault="00F06E74" w:rsidP="00F06E74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Інфраструктура споживчого ринку міста станом на 01.01.2018 налічує 661 об’єкт роздрібної торгівлі, торговельною площею 58 512,6 м</w:t>
      </w:r>
      <w:r w:rsidRPr="00203014">
        <w:rPr>
          <w:sz w:val="28"/>
          <w:szCs w:val="28"/>
          <w:vertAlign w:val="superscript"/>
          <w:lang w:val="uk-UA"/>
        </w:rPr>
        <w:t>2</w:t>
      </w:r>
      <w:r w:rsidRPr="00203014">
        <w:rPr>
          <w:sz w:val="28"/>
          <w:szCs w:val="28"/>
          <w:lang w:val="uk-UA"/>
        </w:rPr>
        <w:t>, в тому числі продовольчих м</w:t>
      </w:r>
      <w:r w:rsidRPr="00203014">
        <w:rPr>
          <w:sz w:val="28"/>
          <w:szCs w:val="28"/>
          <w:lang w:val="uk-UA"/>
        </w:rPr>
        <w:t>а</w:t>
      </w:r>
      <w:r w:rsidRPr="00203014">
        <w:rPr>
          <w:sz w:val="28"/>
          <w:szCs w:val="28"/>
          <w:lang w:val="uk-UA"/>
        </w:rPr>
        <w:t>газинів 231 од., торговельною площею 18 337,2 м</w:t>
      </w:r>
      <w:r w:rsidRPr="00203014">
        <w:rPr>
          <w:sz w:val="28"/>
          <w:szCs w:val="28"/>
          <w:vertAlign w:val="superscript"/>
          <w:lang w:val="uk-UA"/>
        </w:rPr>
        <w:t>2</w:t>
      </w:r>
      <w:r w:rsidRPr="00203014">
        <w:rPr>
          <w:sz w:val="28"/>
          <w:szCs w:val="28"/>
          <w:lang w:val="uk-UA"/>
        </w:rPr>
        <w:t>, непродовольчих магазинів 289 од., торговельною площею 40 175,4 м</w:t>
      </w:r>
      <w:r w:rsidRPr="00203014">
        <w:rPr>
          <w:sz w:val="28"/>
          <w:szCs w:val="28"/>
          <w:vertAlign w:val="superscript"/>
          <w:lang w:val="uk-UA"/>
        </w:rPr>
        <w:t>2</w:t>
      </w:r>
      <w:r w:rsidRPr="00203014">
        <w:rPr>
          <w:sz w:val="28"/>
          <w:szCs w:val="28"/>
          <w:lang w:val="uk-UA"/>
        </w:rPr>
        <w:t>, 127 об’єктів дрібно-роздрібної торгівлі, 14 автоз</w:t>
      </w:r>
      <w:r w:rsidRPr="00203014">
        <w:rPr>
          <w:sz w:val="28"/>
          <w:szCs w:val="28"/>
          <w:lang w:val="uk-UA"/>
        </w:rPr>
        <w:t>а</w:t>
      </w:r>
      <w:r w:rsidRPr="00203014">
        <w:rPr>
          <w:sz w:val="28"/>
          <w:szCs w:val="28"/>
          <w:lang w:val="uk-UA"/>
        </w:rPr>
        <w:t>правних станцій, 88 закладів ресторанного господарства, 177 підприємств сфери поб</w:t>
      </w:r>
      <w:r w:rsidRPr="00203014">
        <w:rPr>
          <w:sz w:val="28"/>
          <w:szCs w:val="28"/>
          <w:lang w:val="uk-UA"/>
        </w:rPr>
        <w:t>у</w:t>
      </w:r>
      <w:r w:rsidRPr="00203014">
        <w:rPr>
          <w:sz w:val="28"/>
          <w:szCs w:val="28"/>
          <w:lang w:val="uk-UA"/>
        </w:rPr>
        <w:t xml:space="preserve">тових послуг. У насиченості внутрішнього ринку та у задоволенні потреб населення у продуктах харчування значне місце належить ринкам, яких в місті налічується 7 </w:t>
      </w:r>
      <w:r w:rsidRPr="00203014">
        <w:rPr>
          <w:color w:val="000000"/>
          <w:sz w:val="28"/>
          <w:szCs w:val="28"/>
          <w:shd w:val="clear" w:color="auto" w:fill="FFFFFF"/>
          <w:lang w:val="uk-UA"/>
        </w:rPr>
        <w:t>та 3 торгівельних майданчика, на</w:t>
      </w:r>
      <w:r w:rsidRPr="00203014">
        <w:rPr>
          <w:sz w:val="28"/>
          <w:szCs w:val="28"/>
          <w:lang w:val="uk-UA"/>
        </w:rPr>
        <w:t xml:space="preserve"> 2013 і 194 торгових місця відповідно.</w:t>
      </w:r>
    </w:p>
    <w:p w:rsidR="00F06E74" w:rsidRDefault="00F06E74" w:rsidP="00F06E74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Протягом 2017 року за рахунок коштів приватного капіталу в місті відкрито 22</w:t>
      </w:r>
      <w:r w:rsidRPr="00203014">
        <w:rPr>
          <w:color w:val="FF0000"/>
          <w:sz w:val="28"/>
          <w:szCs w:val="28"/>
          <w:lang w:val="uk-UA"/>
        </w:rPr>
        <w:t xml:space="preserve"> </w:t>
      </w:r>
      <w:r w:rsidRPr="00203014">
        <w:rPr>
          <w:sz w:val="28"/>
          <w:szCs w:val="28"/>
          <w:lang w:val="uk-UA"/>
        </w:rPr>
        <w:t>об’єкта торгівлі, торгівельною площею 2 020,6 м</w:t>
      </w:r>
      <w:r w:rsidRPr="00203014">
        <w:rPr>
          <w:sz w:val="28"/>
          <w:szCs w:val="28"/>
          <w:vertAlign w:val="superscript"/>
          <w:lang w:val="uk-UA"/>
        </w:rPr>
        <w:t>2</w:t>
      </w:r>
      <w:r w:rsidRPr="00203014">
        <w:rPr>
          <w:sz w:val="28"/>
          <w:szCs w:val="28"/>
          <w:lang w:val="uk-UA"/>
        </w:rPr>
        <w:t>, 1 аптека, 2 об’єкта дрібно-роздрібної мережі, 6 закладів ресторанного господарства, 10 підприємств побутового обслуговування. Упродовж року мережа підприємств торгівлі та побуту поповнилась сучасними магазинами, кафе, перукарнями, які відповідають вимогам сьогодення</w:t>
      </w:r>
      <w:r>
        <w:rPr>
          <w:sz w:val="28"/>
          <w:szCs w:val="28"/>
          <w:lang w:val="uk-UA"/>
        </w:rPr>
        <w:t>.</w:t>
      </w:r>
      <w:r w:rsidRPr="00203014">
        <w:rPr>
          <w:sz w:val="28"/>
          <w:szCs w:val="28"/>
          <w:lang w:val="uk-UA"/>
        </w:rPr>
        <w:t xml:space="preserve"> </w:t>
      </w:r>
    </w:p>
    <w:p w:rsidR="002523F0" w:rsidRDefault="00F06E74" w:rsidP="00F06E74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 xml:space="preserve">За підсумками 2017 року роздрібний товарооборот підприємств, основним видом економічної діяльності яких є роздрібна торгівля по місту Лисичанську склав </w:t>
      </w:r>
      <w:r w:rsidR="002523F0">
        <w:rPr>
          <w:sz w:val="28"/>
          <w:szCs w:val="28"/>
          <w:lang w:val="uk-UA"/>
        </w:rPr>
        <w:t>721813,7</w:t>
      </w:r>
      <w:r w:rsidRPr="00203014">
        <w:rPr>
          <w:sz w:val="28"/>
          <w:szCs w:val="28"/>
          <w:lang w:val="uk-UA"/>
        </w:rPr>
        <w:t>,0 тис. грн., індекс фізичного об</w:t>
      </w:r>
      <w:r w:rsidR="002523F0">
        <w:rPr>
          <w:sz w:val="28"/>
          <w:szCs w:val="28"/>
          <w:lang w:val="uk-UA"/>
        </w:rPr>
        <w:t>сягу</w:t>
      </w:r>
      <w:r w:rsidRPr="00203014">
        <w:rPr>
          <w:sz w:val="28"/>
          <w:szCs w:val="28"/>
          <w:lang w:val="uk-UA"/>
        </w:rPr>
        <w:t xml:space="preserve"> – </w:t>
      </w:r>
      <w:r w:rsidR="002523F0">
        <w:rPr>
          <w:sz w:val="28"/>
          <w:szCs w:val="28"/>
          <w:lang w:val="uk-UA"/>
        </w:rPr>
        <w:t>104,3</w:t>
      </w:r>
      <w:r w:rsidRPr="00203014">
        <w:rPr>
          <w:sz w:val="28"/>
          <w:szCs w:val="28"/>
          <w:lang w:val="uk-UA"/>
        </w:rPr>
        <w:t xml:space="preserve">%. </w:t>
      </w:r>
    </w:p>
    <w:p w:rsidR="002D28F3" w:rsidRDefault="002D28F3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D1682A" w:rsidRPr="008D7806" w:rsidRDefault="00D1682A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 xml:space="preserve">Бюджет </w:t>
      </w:r>
      <w:r w:rsidR="008D7806">
        <w:rPr>
          <w:b/>
          <w:bCs/>
          <w:i/>
          <w:iCs/>
          <w:sz w:val="28"/>
          <w:szCs w:val="28"/>
          <w:u w:val="single"/>
          <w:lang w:val="uk-UA"/>
        </w:rPr>
        <w:t>міста</w:t>
      </w:r>
    </w:p>
    <w:p w:rsidR="00724E99" w:rsidRPr="00203014" w:rsidRDefault="00724E99" w:rsidP="00724E99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В загальний фонд міського бюджету за 2017 рік надійшло 699 049 570,74 грн., або 100,8% до плану за вказаний період.</w:t>
      </w:r>
    </w:p>
    <w:p w:rsidR="00724E99" w:rsidRPr="00203014" w:rsidRDefault="00724E99" w:rsidP="00724E99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В спеціальний фонд надійшло 50 165 176,56 грн., або 101,4% до річного плану 2017 року, з них власних надходжень 19 837 917,28 грн., або 103,9% річного плану.</w:t>
      </w:r>
    </w:p>
    <w:p w:rsidR="00724E99" w:rsidRPr="00203014" w:rsidRDefault="00724E99" w:rsidP="00724E99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На видатки міських бюджетних організацій та закладів за рахунок загального фонду за 2017 рік було профінансовано 702 141 446,93 грн. при плані 721 037 639,08 грн., що складає 97,4% до плану. За рахунок коштів спеціального фонду на фінанс</w:t>
      </w:r>
      <w:r w:rsidRPr="00203014">
        <w:rPr>
          <w:sz w:val="28"/>
          <w:szCs w:val="28"/>
          <w:lang w:val="uk-UA"/>
        </w:rPr>
        <w:t>у</w:t>
      </w:r>
      <w:r w:rsidRPr="00203014">
        <w:rPr>
          <w:sz w:val="28"/>
          <w:szCs w:val="28"/>
          <w:lang w:val="uk-UA"/>
        </w:rPr>
        <w:t>вання витрат направлено 88 070 987,80 грн., або 96,5% до річного плану.</w:t>
      </w:r>
    </w:p>
    <w:p w:rsidR="003665FE" w:rsidRDefault="003665FE" w:rsidP="003665FE">
      <w:pPr>
        <w:tabs>
          <w:tab w:val="left" w:pos="1560"/>
        </w:tabs>
        <w:contextualSpacing/>
        <w:jc w:val="both"/>
        <w:rPr>
          <w:b/>
          <w:sz w:val="28"/>
          <w:szCs w:val="28"/>
          <w:lang w:val="uk-UA"/>
        </w:rPr>
      </w:pPr>
    </w:p>
    <w:p w:rsidR="003665FE" w:rsidRPr="003665FE" w:rsidRDefault="003665FE" w:rsidP="003665FE">
      <w:pPr>
        <w:tabs>
          <w:tab w:val="left" w:pos="1560"/>
        </w:tabs>
        <w:contextualSpacing/>
        <w:jc w:val="both"/>
        <w:rPr>
          <w:b/>
          <w:i/>
          <w:sz w:val="28"/>
          <w:szCs w:val="28"/>
          <w:u w:val="single"/>
          <w:lang w:val="uk-UA"/>
        </w:rPr>
      </w:pPr>
      <w:r w:rsidRPr="003665FE">
        <w:rPr>
          <w:b/>
          <w:i/>
          <w:sz w:val="28"/>
          <w:szCs w:val="28"/>
          <w:u w:val="single"/>
          <w:lang w:val="uk-UA"/>
        </w:rPr>
        <w:t>Пенсійне забезпечення</w:t>
      </w:r>
    </w:p>
    <w:p w:rsidR="00B97503" w:rsidRPr="00280C3F" w:rsidRDefault="006D6F3B" w:rsidP="00B97503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280C3F">
        <w:rPr>
          <w:sz w:val="28"/>
          <w:szCs w:val="28"/>
          <w:lang w:val="uk-UA"/>
        </w:rPr>
        <w:t xml:space="preserve">ількість одержувачів пенсій </w:t>
      </w:r>
      <w:r>
        <w:rPr>
          <w:sz w:val="28"/>
          <w:szCs w:val="28"/>
          <w:lang w:val="uk-UA"/>
        </w:rPr>
        <w:t>с</w:t>
      </w:r>
      <w:r w:rsidR="00A13543" w:rsidRPr="00280C3F">
        <w:rPr>
          <w:sz w:val="28"/>
          <w:szCs w:val="28"/>
          <w:lang w:val="uk-UA"/>
        </w:rPr>
        <w:t>таном на 01.01.2018 р. скла</w:t>
      </w:r>
      <w:r>
        <w:rPr>
          <w:sz w:val="28"/>
          <w:szCs w:val="28"/>
          <w:lang w:val="uk-UA"/>
        </w:rPr>
        <w:t>ло</w:t>
      </w:r>
      <w:r w:rsidR="00A13543" w:rsidRPr="00280C3F">
        <w:rPr>
          <w:sz w:val="28"/>
          <w:szCs w:val="28"/>
          <w:lang w:val="uk-UA"/>
        </w:rPr>
        <w:t xml:space="preserve"> 51123 особи, у тому числі 8904 осіб-переселенців.</w:t>
      </w:r>
      <w:r w:rsidR="00B97503" w:rsidRPr="00B97503">
        <w:rPr>
          <w:sz w:val="28"/>
          <w:szCs w:val="28"/>
          <w:lang w:val="uk-UA"/>
        </w:rPr>
        <w:t xml:space="preserve"> </w:t>
      </w:r>
      <w:r w:rsidR="00B97503" w:rsidRPr="00280C3F">
        <w:rPr>
          <w:sz w:val="28"/>
          <w:szCs w:val="28"/>
          <w:lang w:val="uk-UA"/>
        </w:rPr>
        <w:t>Середній розмір пенсії по місту станом на 01.01.2018 р. склада</w:t>
      </w:r>
      <w:r w:rsidR="00B97503">
        <w:rPr>
          <w:sz w:val="28"/>
          <w:szCs w:val="28"/>
          <w:lang w:val="uk-UA"/>
        </w:rPr>
        <w:t>в</w:t>
      </w:r>
      <w:r w:rsidR="00B97503" w:rsidRPr="00280C3F">
        <w:rPr>
          <w:sz w:val="28"/>
          <w:szCs w:val="28"/>
          <w:lang w:val="uk-UA"/>
        </w:rPr>
        <w:t xml:space="preserve"> 3387,73 гривень, що на 1219,58 гривень або на 56,2% більше аналогічного показника на 01.01.2017 р. Заборгованість з виплати пенсій відсутня.</w:t>
      </w:r>
    </w:p>
    <w:p w:rsidR="00A13543" w:rsidRPr="00280C3F" w:rsidRDefault="00A13543" w:rsidP="00A13543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280C3F">
        <w:rPr>
          <w:sz w:val="28"/>
          <w:szCs w:val="28"/>
          <w:lang w:val="uk-UA"/>
        </w:rPr>
        <w:t xml:space="preserve"> Потреба на виплату пенсій у 2017 році складала 1359438,4</w:t>
      </w:r>
      <w:r w:rsidR="00FF77EA">
        <w:rPr>
          <w:sz w:val="28"/>
          <w:szCs w:val="28"/>
          <w:lang w:val="uk-UA"/>
        </w:rPr>
        <w:t xml:space="preserve"> тис. грн., що на 4,5% більше ніж станом на</w:t>
      </w:r>
      <w:r w:rsidR="00FF77EA" w:rsidRPr="00FF77EA">
        <w:rPr>
          <w:sz w:val="28"/>
          <w:szCs w:val="28"/>
        </w:rPr>
        <w:t xml:space="preserve"> 01</w:t>
      </w:r>
      <w:r w:rsidR="00FF77EA">
        <w:rPr>
          <w:sz w:val="28"/>
          <w:szCs w:val="28"/>
          <w:lang w:val="uk-UA"/>
        </w:rPr>
        <w:t>.</w:t>
      </w:r>
      <w:r w:rsidR="00FF77EA" w:rsidRPr="00FF77EA">
        <w:rPr>
          <w:sz w:val="28"/>
          <w:szCs w:val="28"/>
        </w:rPr>
        <w:t>01</w:t>
      </w:r>
      <w:r w:rsidR="00FF77EA">
        <w:rPr>
          <w:sz w:val="28"/>
          <w:szCs w:val="28"/>
          <w:lang w:val="uk-UA"/>
        </w:rPr>
        <w:t>.</w:t>
      </w:r>
      <w:r w:rsidR="00FF77EA">
        <w:rPr>
          <w:sz w:val="28"/>
          <w:szCs w:val="28"/>
        </w:rPr>
        <w:t>2017</w:t>
      </w:r>
      <w:r w:rsidR="00FF77EA">
        <w:rPr>
          <w:sz w:val="28"/>
          <w:szCs w:val="28"/>
          <w:lang w:val="uk-UA"/>
        </w:rPr>
        <w:t>.</w:t>
      </w:r>
      <w:r w:rsidRPr="00280C3F">
        <w:rPr>
          <w:sz w:val="28"/>
          <w:szCs w:val="28"/>
          <w:lang w:val="uk-UA"/>
        </w:rPr>
        <w:t xml:space="preserve"> Власні надходження до Пенсійного фонду склали на 01.01.2018 р. 242011,8 тис. грн. або 17,8% від потреби.</w:t>
      </w:r>
    </w:p>
    <w:p w:rsidR="00A13543" w:rsidRDefault="00A13543" w:rsidP="00A13543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280C3F">
        <w:rPr>
          <w:sz w:val="28"/>
          <w:szCs w:val="28"/>
          <w:lang w:val="uk-UA"/>
        </w:rPr>
        <w:t xml:space="preserve">Загальна сума заборгованості платників міста Лисичанська перед бюджетом Пенсійного фонду станом на 01.01.2018 складала </w:t>
      </w:r>
      <w:r w:rsidR="00280C3F" w:rsidRPr="00280C3F">
        <w:rPr>
          <w:sz w:val="28"/>
          <w:szCs w:val="28"/>
          <w:lang w:val="uk-UA"/>
        </w:rPr>
        <w:t>441116,9</w:t>
      </w:r>
      <w:r w:rsidRPr="00280C3F">
        <w:rPr>
          <w:sz w:val="28"/>
          <w:szCs w:val="28"/>
          <w:lang w:val="uk-UA"/>
        </w:rPr>
        <w:t xml:space="preserve"> тис. грн. У зрівнянні з 01.01.1</w:t>
      </w:r>
      <w:r w:rsidR="00280C3F" w:rsidRPr="00280C3F">
        <w:rPr>
          <w:sz w:val="28"/>
          <w:szCs w:val="28"/>
          <w:lang w:val="uk-UA"/>
        </w:rPr>
        <w:t>7</w:t>
      </w:r>
      <w:r w:rsidRPr="00280C3F">
        <w:rPr>
          <w:sz w:val="28"/>
          <w:szCs w:val="28"/>
          <w:lang w:val="uk-UA"/>
        </w:rPr>
        <w:t xml:space="preserve"> р. заборгованість зі страхових внесків до Пенсійного фонду збільшилась на </w:t>
      </w:r>
      <w:r w:rsidR="00280C3F" w:rsidRPr="00280C3F">
        <w:rPr>
          <w:sz w:val="28"/>
          <w:szCs w:val="28"/>
          <w:lang w:val="uk-UA"/>
        </w:rPr>
        <w:t>60175,1</w:t>
      </w:r>
      <w:r w:rsidRPr="00280C3F">
        <w:rPr>
          <w:sz w:val="28"/>
          <w:szCs w:val="28"/>
          <w:lang w:val="uk-UA"/>
        </w:rPr>
        <w:t xml:space="preserve"> тис. грн. або на </w:t>
      </w:r>
      <w:r w:rsidR="00280C3F" w:rsidRPr="00280C3F">
        <w:rPr>
          <w:sz w:val="28"/>
          <w:szCs w:val="28"/>
          <w:lang w:val="uk-UA"/>
        </w:rPr>
        <w:t>15,8</w:t>
      </w:r>
      <w:r w:rsidRPr="00280C3F">
        <w:rPr>
          <w:sz w:val="28"/>
          <w:szCs w:val="28"/>
          <w:lang w:val="uk-UA"/>
        </w:rPr>
        <w:t xml:space="preserve"> відсотка.</w:t>
      </w:r>
    </w:p>
    <w:p w:rsidR="00B97503" w:rsidRDefault="00B97503" w:rsidP="00A13543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</w:p>
    <w:p w:rsidR="002523F0" w:rsidRDefault="002523F0" w:rsidP="00A13543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</w:p>
    <w:p w:rsidR="002D28F3" w:rsidRDefault="002D28F3" w:rsidP="00A13543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</w:p>
    <w:p w:rsidR="002D28F3" w:rsidRDefault="002D28F3" w:rsidP="00A13543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</w:p>
    <w:p w:rsidR="002D28F3" w:rsidRPr="00280C3F" w:rsidRDefault="002D28F3" w:rsidP="00A13543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</w:p>
    <w:p w:rsidR="006D6F3B" w:rsidRPr="006D6F3B" w:rsidRDefault="006D6F3B" w:rsidP="006D6F3B">
      <w:pPr>
        <w:tabs>
          <w:tab w:val="left" w:pos="1560"/>
        </w:tabs>
        <w:contextualSpacing/>
        <w:jc w:val="both"/>
        <w:rPr>
          <w:b/>
          <w:i/>
          <w:sz w:val="28"/>
          <w:szCs w:val="28"/>
          <w:u w:val="single"/>
          <w:lang w:val="uk-UA"/>
        </w:rPr>
      </w:pPr>
      <w:r w:rsidRPr="006D6F3B">
        <w:rPr>
          <w:b/>
          <w:i/>
          <w:sz w:val="28"/>
          <w:szCs w:val="28"/>
          <w:u w:val="single"/>
          <w:lang w:val="uk-UA"/>
        </w:rPr>
        <w:lastRenderedPageBreak/>
        <w:t>Грошові доходи населення та</w:t>
      </w:r>
      <w:r w:rsidR="00B97503">
        <w:rPr>
          <w:b/>
          <w:i/>
          <w:sz w:val="28"/>
          <w:szCs w:val="28"/>
          <w:u w:val="single"/>
          <w:lang w:val="uk-UA"/>
        </w:rPr>
        <w:t xml:space="preserve"> заборгованість із виплати</w:t>
      </w:r>
      <w:r w:rsidRPr="006D6F3B">
        <w:rPr>
          <w:b/>
          <w:i/>
          <w:sz w:val="28"/>
          <w:szCs w:val="28"/>
          <w:u w:val="single"/>
          <w:lang w:val="uk-UA"/>
        </w:rPr>
        <w:t xml:space="preserve"> заробітн</w:t>
      </w:r>
      <w:r w:rsidR="00B97503">
        <w:rPr>
          <w:b/>
          <w:i/>
          <w:sz w:val="28"/>
          <w:szCs w:val="28"/>
          <w:u w:val="single"/>
          <w:lang w:val="uk-UA"/>
        </w:rPr>
        <w:t>ої</w:t>
      </w:r>
      <w:r w:rsidRPr="006D6F3B">
        <w:rPr>
          <w:b/>
          <w:i/>
          <w:sz w:val="28"/>
          <w:szCs w:val="28"/>
          <w:u w:val="single"/>
          <w:lang w:val="uk-UA"/>
        </w:rPr>
        <w:t xml:space="preserve"> плат</w:t>
      </w:r>
      <w:r w:rsidR="00B97503">
        <w:rPr>
          <w:b/>
          <w:i/>
          <w:sz w:val="28"/>
          <w:szCs w:val="28"/>
          <w:u w:val="single"/>
          <w:lang w:val="uk-UA"/>
        </w:rPr>
        <w:t>и</w:t>
      </w:r>
    </w:p>
    <w:p w:rsidR="006D6F3B" w:rsidRDefault="006D6F3B" w:rsidP="006D6F3B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Середньомісячна заробітна плата за IV квартал 2017 року</w:t>
      </w:r>
      <w:r>
        <w:rPr>
          <w:sz w:val="28"/>
          <w:szCs w:val="28"/>
          <w:lang w:val="uk-UA"/>
        </w:rPr>
        <w:t xml:space="preserve"> по місту</w:t>
      </w:r>
      <w:r w:rsidRPr="002030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дорівнює</w:t>
      </w:r>
      <w:r w:rsidRPr="00203014">
        <w:rPr>
          <w:sz w:val="28"/>
          <w:szCs w:val="28"/>
          <w:lang w:val="uk-UA"/>
        </w:rPr>
        <w:t xml:space="preserve"> 6 297 грн., що склало 96% до середньої заробітної плати за даний період по області (в IV кварталі 2017 року – 6 560 грн.). </w:t>
      </w:r>
    </w:p>
    <w:p w:rsidR="00B5035B" w:rsidRDefault="00B5035B" w:rsidP="00B5035B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 xml:space="preserve">За статистичними даними загальна сума заборгованості з виплати заробітної плати по м. Лисичанськ на 01.01.2018 становила 67 203,2 тис. грн., що на 32 608,4 тис. грн. або 94,3 % більше ніж на 01.01.2017. </w:t>
      </w:r>
    </w:p>
    <w:p w:rsidR="00B5035B" w:rsidRPr="00203014" w:rsidRDefault="00B5035B" w:rsidP="00B5035B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В обсязі загальної заборгованості 76,7 % (або 51 532,5 тис. грн.) боргу сформ</w:t>
      </w:r>
      <w:r w:rsidRPr="00203014">
        <w:rPr>
          <w:sz w:val="28"/>
          <w:szCs w:val="28"/>
          <w:lang w:val="uk-UA"/>
        </w:rPr>
        <w:t>у</w:t>
      </w:r>
      <w:r w:rsidRPr="00203014">
        <w:rPr>
          <w:sz w:val="28"/>
          <w:szCs w:val="28"/>
          <w:lang w:val="uk-UA"/>
        </w:rPr>
        <w:t>вали 12 підприємств вугільної галузі (ПАТ «</w:t>
      </w:r>
      <w:proofErr w:type="spellStart"/>
      <w:r w:rsidRPr="00203014">
        <w:rPr>
          <w:sz w:val="28"/>
          <w:szCs w:val="28"/>
          <w:lang w:val="uk-UA"/>
        </w:rPr>
        <w:t>Лисичанськвугілля</w:t>
      </w:r>
      <w:proofErr w:type="spellEnd"/>
      <w:r w:rsidRPr="00203014">
        <w:rPr>
          <w:sz w:val="28"/>
          <w:szCs w:val="28"/>
          <w:lang w:val="uk-UA"/>
        </w:rPr>
        <w:t>» та його відокремлені підрозділи). Вказана заборгованість сформована через несвоєчасне надання державної підтримки за рахунок державного бюджету на виробництво товарної вугільної прод</w:t>
      </w:r>
      <w:r w:rsidRPr="00203014">
        <w:rPr>
          <w:sz w:val="28"/>
          <w:szCs w:val="28"/>
          <w:lang w:val="uk-UA"/>
        </w:rPr>
        <w:t>у</w:t>
      </w:r>
      <w:r w:rsidRPr="00203014">
        <w:rPr>
          <w:sz w:val="28"/>
          <w:szCs w:val="28"/>
          <w:lang w:val="uk-UA"/>
        </w:rPr>
        <w:t>кції. Відсоток заборгованості підприємств, які перемістилися в м. Лисичанськ з тер</w:t>
      </w:r>
      <w:r w:rsidRPr="00203014">
        <w:rPr>
          <w:sz w:val="28"/>
          <w:szCs w:val="28"/>
          <w:lang w:val="uk-UA"/>
        </w:rPr>
        <w:t>и</w:t>
      </w:r>
      <w:r w:rsidRPr="00203014">
        <w:rPr>
          <w:sz w:val="28"/>
          <w:szCs w:val="28"/>
          <w:lang w:val="uk-UA"/>
        </w:rPr>
        <w:t>торії Луганської області, де органи державної влади тимчасово не здійснюють свої п</w:t>
      </w:r>
      <w:r w:rsidRPr="00203014">
        <w:rPr>
          <w:sz w:val="28"/>
          <w:szCs w:val="28"/>
          <w:lang w:val="uk-UA"/>
        </w:rPr>
        <w:t>о</w:t>
      </w:r>
      <w:r w:rsidRPr="00203014">
        <w:rPr>
          <w:sz w:val="28"/>
          <w:szCs w:val="28"/>
          <w:lang w:val="uk-UA"/>
        </w:rPr>
        <w:t>вноваження становив 15,4% (або 10 345,9 тис. грн.).</w:t>
      </w:r>
    </w:p>
    <w:p w:rsidR="00B5035B" w:rsidRPr="00203014" w:rsidRDefault="00B5035B" w:rsidP="00B5035B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В розрізі економічної активності сума боргу становила по підприємствах:</w:t>
      </w:r>
    </w:p>
    <w:p w:rsidR="00B5035B" w:rsidRPr="00203014" w:rsidRDefault="00B5035B" w:rsidP="00B5035B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економічно активних – 64 345,4 тис. грн. або 95,8 %;</w:t>
      </w:r>
    </w:p>
    <w:p w:rsidR="00B5035B" w:rsidRPr="00203014" w:rsidRDefault="00B5035B" w:rsidP="00B5035B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банкрутах – 1 238,6 тис. грн. або 1,8 %;</w:t>
      </w:r>
    </w:p>
    <w:p w:rsidR="00B5035B" w:rsidRPr="00203014" w:rsidRDefault="00B5035B" w:rsidP="00B5035B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економічно неактивних – 1 619,2 тис. грн. або 2,4 %.</w:t>
      </w:r>
    </w:p>
    <w:p w:rsidR="00B5035B" w:rsidRPr="00203014" w:rsidRDefault="00B5035B" w:rsidP="00B5035B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Станом на 01.01.2018 заборгованість по підприємствах комунальної власності становила 806,6 тис. грн. і порівняно з даними на 01.01.2017 (634,9 тис. грн.) збільш</w:t>
      </w:r>
      <w:r w:rsidRPr="00203014">
        <w:rPr>
          <w:sz w:val="28"/>
          <w:szCs w:val="28"/>
          <w:lang w:val="uk-UA"/>
        </w:rPr>
        <w:t>и</w:t>
      </w:r>
      <w:r w:rsidRPr="00203014">
        <w:rPr>
          <w:sz w:val="28"/>
          <w:szCs w:val="28"/>
          <w:lang w:val="uk-UA"/>
        </w:rPr>
        <w:t>лась на 171,7 тис. грн. або 27,0 %.</w:t>
      </w:r>
    </w:p>
    <w:p w:rsidR="00D1682A" w:rsidRPr="00E8520D" w:rsidRDefault="00D1682A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D1682A" w:rsidRPr="00E8520D" w:rsidRDefault="00D1682A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>Ринок праці</w:t>
      </w:r>
    </w:p>
    <w:p w:rsidR="00205AC3" w:rsidRPr="00205AC3" w:rsidRDefault="00205AC3" w:rsidP="00205AC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05AC3">
        <w:rPr>
          <w:rFonts w:eastAsia="Calibri"/>
          <w:sz w:val="28"/>
          <w:szCs w:val="28"/>
          <w:lang w:val="uk-UA" w:eastAsia="en-US"/>
        </w:rPr>
        <w:t>Станом на 1.01.2017 на обліку в Лисичанському міському центрі зайнятості п</w:t>
      </w:r>
      <w:r w:rsidRPr="00205AC3">
        <w:rPr>
          <w:rFonts w:eastAsia="Calibri"/>
          <w:sz w:val="28"/>
          <w:szCs w:val="28"/>
          <w:lang w:val="uk-UA" w:eastAsia="en-US"/>
        </w:rPr>
        <w:t>е</w:t>
      </w:r>
      <w:r w:rsidRPr="00205AC3">
        <w:rPr>
          <w:rFonts w:eastAsia="Calibri"/>
          <w:sz w:val="28"/>
          <w:szCs w:val="28"/>
          <w:lang w:val="uk-UA" w:eastAsia="en-US"/>
        </w:rPr>
        <w:t>ребував 791 безробітний, протягом 2017 року зареєстровано 1764 безробітних гром</w:t>
      </w:r>
      <w:r w:rsidRPr="00205AC3">
        <w:rPr>
          <w:rFonts w:eastAsia="Calibri"/>
          <w:sz w:val="28"/>
          <w:szCs w:val="28"/>
          <w:lang w:val="uk-UA" w:eastAsia="en-US"/>
        </w:rPr>
        <w:t>а</w:t>
      </w:r>
      <w:r w:rsidRPr="00205AC3">
        <w:rPr>
          <w:rFonts w:eastAsia="Calibri"/>
          <w:sz w:val="28"/>
          <w:szCs w:val="28"/>
          <w:lang w:val="uk-UA" w:eastAsia="en-US"/>
        </w:rPr>
        <w:t>дянина. Всього протягом 2017 року на обліку в Лисичанському міському центрі зайн</w:t>
      </w:r>
      <w:r w:rsidRPr="00205AC3">
        <w:rPr>
          <w:rFonts w:eastAsia="Calibri"/>
          <w:sz w:val="28"/>
          <w:szCs w:val="28"/>
          <w:lang w:val="uk-UA" w:eastAsia="en-US"/>
        </w:rPr>
        <w:t>я</w:t>
      </w:r>
      <w:r w:rsidRPr="00205AC3">
        <w:rPr>
          <w:rFonts w:eastAsia="Calibri"/>
          <w:sz w:val="28"/>
          <w:szCs w:val="28"/>
          <w:lang w:val="uk-UA" w:eastAsia="en-US"/>
        </w:rPr>
        <w:t>тості перебувало 2 555 зареєстрованих безробітних.</w:t>
      </w:r>
    </w:p>
    <w:p w:rsidR="00205AC3" w:rsidRPr="00205AC3" w:rsidRDefault="00205AC3" w:rsidP="00205AC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05AC3">
        <w:rPr>
          <w:rFonts w:eastAsia="Calibri"/>
          <w:sz w:val="28"/>
          <w:szCs w:val="28"/>
          <w:lang w:val="uk-UA" w:eastAsia="en-US"/>
        </w:rPr>
        <w:t xml:space="preserve">Працевлаштовані за направленням державної служби зайнятості в 2017 році 1 217 осіб, проходило </w:t>
      </w:r>
      <w:proofErr w:type="spellStart"/>
      <w:r w:rsidRPr="00205AC3">
        <w:rPr>
          <w:rFonts w:eastAsia="Calibri"/>
          <w:sz w:val="28"/>
          <w:szCs w:val="28"/>
          <w:lang w:val="uk-UA" w:eastAsia="en-US"/>
        </w:rPr>
        <w:t>профнавчання</w:t>
      </w:r>
      <w:proofErr w:type="spellEnd"/>
      <w:r w:rsidRPr="00205AC3">
        <w:rPr>
          <w:rFonts w:eastAsia="Calibri"/>
          <w:sz w:val="28"/>
          <w:szCs w:val="28"/>
          <w:lang w:val="uk-UA" w:eastAsia="en-US"/>
        </w:rPr>
        <w:t>, перенавчання, підвищення кваліфікації 240 бе</w:t>
      </w:r>
      <w:r w:rsidRPr="00205AC3">
        <w:rPr>
          <w:rFonts w:eastAsia="Calibri"/>
          <w:sz w:val="28"/>
          <w:szCs w:val="28"/>
          <w:lang w:val="uk-UA" w:eastAsia="en-US"/>
        </w:rPr>
        <w:t>з</w:t>
      </w:r>
      <w:r w:rsidRPr="00205AC3">
        <w:rPr>
          <w:rFonts w:eastAsia="Calibri"/>
          <w:sz w:val="28"/>
          <w:szCs w:val="28"/>
          <w:lang w:val="uk-UA" w:eastAsia="en-US"/>
        </w:rPr>
        <w:t>робітних громадян, залучено до участі в громадських роботах та інших роботах тимч</w:t>
      </w:r>
      <w:r w:rsidRPr="00205AC3">
        <w:rPr>
          <w:rFonts w:eastAsia="Calibri"/>
          <w:sz w:val="28"/>
          <w:szCs w:val="28"/>
          <w:lang w:val="uk-UA" w:eastAsia="en-US"/>
        </w:rPr>
        <w:t>а</w:t>
      </w:r>
      <w:r w:rsidRPr="00205AC3">
        <w:rPr>
          <w:rFonts w:eastAsia="Calibri"/>
          <w:sz w:val="28"/>
          <w:szCs w:val="28"/>
          <w:lang w:val="uk-UA" w:eastAsia="en-US"/>
        </w:rPr>
        <w:t>сового характеру 163 безробітних.</w:t>
      </w:r>
    </w:p>
    <w:p w:rsidR="00205AC3" w:rsidRPr="00205AC3" w:rsidRDefault="00205AC3" w:rsidP="00205AC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05AC3">
        <w:rPr>
          <w:rFonts w:eastAsia="Calibri"/>
          <w:sz w:val="28"/>
          <w:szCs w:val="28"/>
          <w:lang w:val="uk-UA" w:eastAsia="en-US"/>
        </w:rPr>
        <w:t>Станом на 01.01.2018 на обліку в Лисичанському міському центрі зайнятості п</w:t>
      </w:r>
      <w:r w:rsidRPr="00205AC3">
        <w:rPr>
          <w:rFonts w:eastAsia="Calibri"/>
          <w:sz w:val="28"/>
          <w:szCs w:val="28"/>
          <w:lang w:val="uk-UA" w:eastAsia="en-US"/>
        </w:rPr>
        <w:t>е</w:t>
      </w:r>
      <w:r w:rsidRPr="00205AC3">
        <w:rPr>
          <w:rFonts w:eastAsia="Calibri"/>
          <w:sz w:val="28"/>
          <w:szCs w:val="28"/>
          <w:lang w:val="uk-UA" w:eastAsia="en-US"/>
        </w:rPr>
        <w:t>ребувало 907 зареєстрованих безробітних, чисельність безробітних збільшилась на 14,7% у зрівнянні з початком року.</w:t>
      </w:r>
    </w:p>
    <w:p w:rsidR="00205AC3" w:rsidRPr="00205AC3" w:rsidRDefault="00205AC3" w:rsidP="00205AC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05AC3">
        <w:rPr>
          <w:rFonts w:eastAsia="Calibri"/>
          <w:sz w:val="28"/>
          <w:szCs w:val="28"/>
          <w:lang w:val="uk-UA" w:eastAsia="en-US"/>
        </w:rPr>
        <w:t>Станом на 1.01.2017 в базі даних Лисичанського міського центру зайнятості н</w:t>
      </w:r>
      <w:r w:rsidRPr="00205AC3">
        <w:rPr>
          <w:rFonts w:eastAsia="Calibri"/>
          <w:sz w:val="28"/>
          <w:szCs w:val="28"/>
          <w:lang w:val="uk-UA" w:eastAsia="en-US"/>
        </w:rPr>
        <w:t>а</w:t>
      </w:r>
      <w:r w:rsidRPr="00205AC3">
        <w:rPr>
          <w:rFonts w:eastAsia="Calibri"/>
          <w:sz w:val="28"/>
          <w:szCs w:val="28"/>
          <w:lang w:val="uk-UA" w:eastAsia="en-US"/>
        </w:rPr>
        <w:t>лічувалось 79 вакансій, протягом 2017 року підприємствами, установами, організаці</w:t>
      </w:r>
      <w:r w:rsidRPr="00205AC3">
        <w:rPr>
          <w:rFonts w:eastAsia="Calibri"/>
          <w:sz w:val="28"/>
          <w:szCs w:val="28"/>
          <w:lang w:val="uk-UA" w:eastAsia="en-US"/>
        </w:rPr>
        <w:t>я</w:t>
      </w:r>
      <w:r w:rsidRPr="00205AC3">
        <w:rPr>
          <w:rFonts w:eastAsia="Calibri"/>
          <w:sz w:val="28"/>
          <w:szCs w:val="28"/>
          <w:lang w:val="uk-UA" w:eastAsia="en-US"/>
        </w:rPr>
        <w:t>ми, фізичними особами-суб’єктами підприємницької діяльності надано 1 554 вакансії. Загальна кількість вакансій протягом 2017 року складала 1 633 вакансії. Станом на 01.01.2018 в базі даних Лисичанського міського центру зайнятості налічу</w:t>
      </w:r>
      <w:r w:rsidR="00FC7EC7">
        <w:rPr>
          <w:rFonts w:eastAsia="Calibri"/>
          <w:sz w:val="28"/>
          <w:szCs w:val="28"/>
          <w:lang w:val="uk-UA" w:eastAsia="en-US"/>
        </w:rPr>
        <w:t>валось</w:t>
      </w:r>
      <w:r w:rsidRPr="00205AC3">
        <w:rPr>
          <w:rFonts w:eastAsia="Calibri"/>
          <w:sz w:val="28"/>
          <w:szCs w:val="28"/>
          <w:lang w:val="uk-UA" w:eastAsia="en-US"/>
        </w:rPr>
        <w:t xml:space="preserve"> 114 вакансій.</w:t>
      </w:r>
    </w:p>
    <w:p w:rsidR="00700252" w:rsidRDefault="00700252" w:rsidP="007002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 2017 році до Лисичанського міського центру зайнятості надано відомості про заплановане вивільнення 593 осіб, в тому числі 36 осіб з ПРАТ «ЛИНІК», 30 осіб – з </w:t>
      </w:r>
      <w:proofErr w:type="spellStart"/>
      <w:r>
        <w:rPr>
          <w:sz w:val="28"/>
          <w:szCs w:val="28"/>
          <w:lang w:val="uk-UA"/>
        </w:rPr>
        <w:t>КП»Лисичанськтепломережа</w:t>
      </w:r>
      <w:proofErr w:type="spellEnd"/>
      <w:r>
        <w:rPr>
          <w:sz w:val="28"/>
          <w:szCs w:val="28"/>
          <w:lang w:val="uk-UA"/>
        </w:rPr>
        <w:t xml:space="preserve">», 58 осіб – з ДПІ у м. Лисичанську Головного управління ДФС у Луганській області, 20 осіб – з  відділення ВД Фонду СНВ у м. Лисичанську, 34 особи – з ДПТНЗ «Лисичанський професійний </w:t>
      </w:r>
      <w:proofErr w:type="spellStart"/>
      <w:r>
        <w:rPr>
          <w:sz w:val="28"/>
          <w:szCs w:val="28"/>
          <w:lang w:val="uk-UA"/>
        </w:rPr>
        <w:t>гірничо-промисловий</w:t>
      </w:r>
      <w:proofErr w:type="spellEnd"/>
      <w:r>
        <w:rPr>
          <w:sz w:val="28"/>
          <w:szCs w:val="28"/>
          <w:lang w:val="uk-UA"/>
        </w:rPr>
        <w:t xml:space="preserve"> ліцей», 49 – з ДПТНЗ «Лисичанський професійний ліцей», 308 – з ПАТ «Лисичанський склозавод </w:t>
      </w:r>
      <w:r>
        <w:rPr>
          <w:sz w:val="28"/>
          <w:szCs w:val="28"/>
          <w:lang w:val="uk-UA"/>
        </w:rPr>
        <w:lastRenderedPageBreak/>
        <w:t>«Пролетарій», 12 – з Лисичанського професійного ліцею, 46 – з Лисичанського проф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сійного будівельного ліцею. Надання звітності про фактичне вивільнення до державної служби зайнятості законодавством не передбачено. У звітному періоді зареєстровано як безробітних 18 осіб, вивільнених з ПРАТ «ЛИНІК», 8 осіб – з КП «</w:t>
      </w:r>
      <w:proofErr w:type="spellStart"/>
      <w:r>
        <w:rPr>
          <w:sz w:val="28"/>
          <w:szCs w:val="28"/>
          <w:lang w:val="uk-UA"/>
        </w:rPr>
        <w:t>Лисичанськте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ломережа</w:t>
      </w:r>
      <w:proofErr w:type="spellEnd"/>
      <w:r>
        <w:rPr>
          <w:sz w:val="28"/>
          <w:szCs w:val="28"/>
          <w:lang w:val="uk-UA"/>
        </w:rPr>
        <w:t xml:space="preserve">», 6 осіб – з ДПІ у м. Лисичанську Головного управління ДФС у Луганській області, 52 особи – з ПАТ «Лисичанський склозавод «Пролетарій», 3 особи – з ДПТНЗ «Лисичанський професійний </w:t>
      </w:r>
      <w:proofErr w:type="spellStart"/>
      <w:r>
        <w:rPr>
          <w:sz w:val="28"/>
          <w:szCs w:val="28"/>
          <w:lang w:val="uk-UA"/>
        </w:rPr>
        <w:t>гірничо-промисловий</w:t>
      </w:r>
      <w:proofErr w:type="spellEnd"/>
      <w:r>
        <w:rPr>
          <w:sz w:val="28"/>
          <w:szCs w:val="28"/>
          <w:lang w:val="uk-UA"/>
        </w:rPr>
        <w:t xml:space="preserve"> ліцей», 3 особи - – з Лисичанського професійного будівельного ліцею та 10 осіб – з ДПТНЗ «Лисичанський професійний ліцей».</w:t>
      </w:r>
    </w:p>
    <w:p w:rsidR="00700252" w:rsidRDefault="00700252" w:rsidP="007002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43EDC" w:rsidRPr="00E8520D" w:rsidRDefault="00843EDC" w:rsidP="00843EDC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>Демографічна ситуація</w:t>
      </w:r>
    </w:p>
    <w:p w:rsidR="00843EDC" w:rsidRPr="00F06E74" w:rsidRDefault="00843EDC" w:rsidP="00843EDC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F06E74">
        <w:rPr>
          <w:sz w:val="28"/>
          <w:szCs w:val="28"/>
          <w:lang w:val="uk-UA"/>
        </w:rPr>
        <w:t>Важливим чинником в стані демографічного розвитку є нестримне старіння населення, що призводить до зростання демографічного навантаження на частину населення, яка працює. Станом</w:t>
      </w:r>
      <w:r>
        <w:rPr>
          <w:sz w:val="28"/>
          <w:szCs w:val="28"/>
          <w:lang w:val="uk-UA"/>
        </w:rPr>
        <w:t xml:space="preserve"> на 01.01.2018</w:t>
      </w:r>
      <w:r w:rsidRPr="00F06E74">
        <w:rPr>
          <w:sz w:val="28"/>
          <w:szCs w:val="28"/>
          <w:lang w:val="uk-UA"/>
        </w:rPr>
        <w:t xml:space="preserve"> чисельність постійного населення міст Лисичанська, </w:t>
      </w:r>
      <w:proofErr w:type="spellStart"/>
      <w:r w:rsidRPr="00F06E74">
        <w:rPr>
          <w:sz w:val="28"/>
          <w:szCs w:val="28"/>
          <w:lang w:val="uk-UA"/>
        </w:rPr>
        <w:t>Новодружеська</w:t>
      </w:r>
      <w:proofErr w:type="spellEnd"/>
      <w:r w:rsidRPr="00F06E74">
        <w:rPr>
          <w:sz w:val="28"/>
          <w:szCs w:val="28"/>
          <w:lang w:val="uk-UA"/>
        </w:rPr>
        <w:t xml:space="preserve"> та Привілля становила </w:t>
      </w:r>
      <w:r w:rsidRPr="00203014">
        <w:rPr>
          <w:sz w:val="28"/>
          <w:szCs w:val="28"/>
          <w:lang w:val="uk-UA"/>
        </w:rPr>
        <w:t xml:space="preserve">112 574 </w:t>
      </w:r>
      <w:r w:rsidRPr="00F06E74">
        <w:rPr>
          <w:sz w:val="28"/>
          <w:szCs w:val="28"/>
          <w:lang w:val="uk-UA"/>
        </w:rPr>
        <w:t xml:space="preserve"> осіб, що на </w:t>
      </w:r>
      <w:r w:rsidRPr="00203014">
        <w:rPr>
          <w:sz w:val="28"/>
          <w:szCs w:val="28"/>
          <w:lang w:val="uk-UA"/>
        </w:rPr>
        <w:t xml:space="preserve">1 947 </w:t>
      </w:r>
      <w:r w:rsidRPr="00F06E74">
        <w:rPr>
          <w:sz w:val="28"/>
          <w:szCs w:val="28"/>
          <w:lang w:val="uk-UA"/>
        </w:rPr>
        <w:t xml:space="preserve"> осіб або на 1,</w:t>
      </w:r>
      <w:r>
        <w:rPr>
          <w:sz w:val="28"/>
          <w:szCs w:val="28"/>
          <w:lang w:val="uk-UA"/>
        </w:rPr>
        <w:t>7</w:t>
      </w:r>
      <w:r w:rsidRPr="00F06E74">
        <w:rPr>
          <w:sz w:val="28"/>
          <w:szCs w:val="28"/>
          <w:lang w:val="uk-UA"/>
        </w:rPr>
        <w:t>% м</w:t>
      </w:r>
      <w:r>
        <w:rPr>
          <w:sz w:val="28"/>
          <w:szCs w:val="28"/>
          <w:lang w:val="uk-UA"/>
        </w:rPr>
        <w:t>енше ніж на відповідну дату 2017</w:t>
      </w:r>
      <w:r w:rsidRPr="00F06E74">
        <w:rPr>
          <w:sz w:val="28"/>
          <w:szCs w:val="28"/>
          <w:lang w:val="uk-UA"/>
        </w:rPr>
        <w:t xml:space="preserve"> р.</w:t>
      </w:r>
    </w:p>
    <w:p w:rsidR="00843EDC" w:rsidRPr="00203014" w:rsidRDefault="00843EDC" w:rsidP="00843EDC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Протягом 2017 року народилось 588 осіб, померло 1 778 осіб. Природний рух населення склав – 1 190 осіб. Міграційне сальдо за цей період склало – 757 осіб.</w:t>
      </w:r>
    </w:p>
    <w:p w:rsidR="00843EDC" w:rsidRPr="00E8520D" w:rsidRDefault="00843EDC" w:rsidP="00724E99">
      <w:pPr>
        <w:jc w:val="both"/>
        <w:rPr>
          <w:sz w:val="28"/>
          <w:szCs w:val="28"/>
          <w:lang w:val="uk-UA"/>
        </w:rPr>
      </w:pPr>
    </w:p>
    <w:sectPr w:rsidR="00843EDC" w:rsidRPr="00E8520D" w:rsidSect="00AD4C68">
      <w:pgSz w:w="11906" w:h="16838"/>
      <w:pgMar w:top="851" w:right="42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FD" w:rsidRDefault="00A47FFD" w:rsidP="00D1682A">
      <w:r>
        <w:separator/>
      </w:r>
    </w:p>
  </w:endnote>
  <w:endnote w:type="continuationSeparator" w:id="0">
    <w:p w:rsidR="00A47FFD" w:rsidRDefault="00A47FFD" w:rsidP="00D1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FD" w:rsidRDefault="00A47FFD" w:rsidP="00D1682A">
      <w:r>
        <w:separator/>
      </w:r>
    </w:p>
  </w:footnote>
  <w:footnote w:type="continuationSeparator" w:id="0">
    <w:p w:rsidR="00A47FFD" w:rsidRDefault="00A47FFD" w:rsidP="00D1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1FBF"/>
    <w:multiLevelType w:val="hybridMultilevel"/>
    <w:tmpl w:val="4A3C4264"/>
    <w:lvl w:ilvl="0" w:tplc="29FE77DE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6E377B"/>
    <w:multiLevelType w:val="multilevel"/>
    <w:tmpl w:val="294E0B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D9A426E"/>
    <w:multiLevelType w:val="hybridMultilevel"/>
    <w:tmpl w:val="7F9881D4"/>
    <w:lvl w:ilvl="0" w:tplc="44689A3C">
      <w:start w:val="1"/>
      <w:numFmt w:val="bullet"/>
      <w:lvlText w:val=""/>
      <w:lvlJc w:val="left"/>
      <w:pPr>
        <w:tabs>
          <w:tab w:val="num" w:pos="567"/>
        </w:tabs>
        <w:ind w:left="62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2A"/>
    <w:rsid w:val="00082130"/>
    <w:rsid w:val="000A4C73"/>
    <w:rsid w:val="000B5D16"/>
    <w:rsid w:val="000C723F"/>
    <w:rsid w:val="00151115"/>
    <w:rsid w:val="00205AC3"/>
    <w:rsid w:val="002523F0"/>
    <w:rsid w:val="00280C3F"/>
    <w:rsid w:val="00283502"/>
    <w:rsid w:val="002D28F3"/>
    <w:rsid w:val="002F3E98"/>
    <w:rsid w:val="00321720"/>
    <w:rsid w:val="003665FE"/>
    <w:rsid w:val="0042349E"/>
    <w:rsid w:val="00446140"/>
    <w:rsid w:val="0049679F"/>
    <w:rsid w:val="004D3708"/>
    <w:rsid w:val="00522F70"/>
    <w:rsid w:val="00542EA2"/>
    <w:rsid w:val="00546353"/>
    <w:rsid w:val="00571DAD"/>
    <w:rsid w:val="0058775D"/>
    <w:rsid w:val="00664CF3"/>
    <w:rsid w:val="00677A16"/>
    <w:rsid w:val="006D6F3B"/>
    <w:rsid w:val="00700252"/>
    <w:rsid w:val="00724E99"/>
    <w:rsid w:val="007611F0"/>
    <w:rsid w:val="00764B5D"/>
    <w:rsid w:val="007753B0"/>
    <w:rsid w:val="007F5099"/>
    <w:rsid w:val="00843EDC"/>
    <w:rsid w:val="00850A5C"/>
    <w:rsid w:val="008C2D36"/>
    <w:rsid w:val="008D7806"/>
    <w:rsid w:val="008F21B3"/>
    <w:rsid w:val="00935DB5"/>
    <w:rsid w:val="00943E7C"/>
    <w:rsid w:val="009E4811"/>
    <w:rsid w:val="00A13543"/>
    <w:rsid w:val="00A25AD2"/>
    <w:rsid w:val="00A47FFD"/>
    <w:rsid w:val="00AD4C68"/>
    <w:rsid w:val="00B04AA9"/>
    <w:rsid w:val="00B5035B"/>
    <w:rsid w:val="00B561E4"/>
    <w:rsid w:val="00B86D12"/>
    <w:rsid w:val="00B97503"/>
    <w:rsid w:val="00BA383D"/>
    <w:rsid w:val="00BB7867"/>
    <w:rsid w:val="00D0168E"/>
    <w:rsid w:val="00D1682A"/>
    <w:rsid w:val="00D224BD"/>
    <w:rsid w:val="00E8520D"/>
    <w:rsid w:val="00E94A02"/>
    <w:rsid w:val="00F06E74"/>
    <w:rsid w:val="00FA794D"/>
    <w:rsid w:val="00FC7EC7"/>
    <w:rsid w:val="00FE6E40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82A"/>
  </w:style>
  <w:style w:type="paragraph" w:styleId="a5">
    <w:name w:val="footer"/>
    <w:basedOn w:val="a"/>
    <w:link w:val="a6"/>
    <w:uiPriority w:val="99"/>
    <w:unhideWhenUsed/>
    <w:rsid w:val="00D168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82A"/>
  </w:style>
  <w:style w:type="paragraph" w:styleId="a7">
    <w:name w:val="Balloon Text"/>
    <w:basedOn w:val="a"/>
    <w:link w:val="a8"/>
    <w:uiPriority w:val="99"/>
    <w:semiHidden/>
    <w:unhideWhenUsed/>
    <w:rsid w:val="00D168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82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D1682A"/>
  </w:style>
  <w:style w:type="character" w:customStyle="1" w:styleId="2">
    <w:name w:val="Основной текст (2)_"/>
    <w:link w:val="20"/>
    <w:uiPriority w:val="99"/>
    <w:locked/>
    <w:rsid w:val="00724E99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4E99"/>
    <w:pPr>
      <w:widowControl w:val="0"/>
      <w:shd w:val="clear" w:color="auto" w:fill="FFFFFF"/>
      <w:spacing w:line="322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211pt">
    <w:name w:val="Основной текст (2) + 11 pt"/>
    <w:aliases w:val="Полужирный"/>
    <w:uiPriority w:val="99"/>
    <w:rsid w:val="00724E99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character" w:customStyle="1" w:styleId="212pt">
    <w:name w:val="Основной текст (2) + 12 pt"/>
    <w:uiPriority w:val="99"/>
    <w:rsid w:val="00724E99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82A"/>
  </w:style>
  <w:style w:type="paragraph" w:styleId="a5">
    <w:name w:val="footer"/>
    <w:basedOn w:val="a"/>
    <w:link w:val="a6"/>
    <w:uiPriority w:val="99"/>
    <w:unhideWhenUsed/>
    <w:rsid w:val="00D168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82A"/>
  </w:style>
  <w:style w:type="paragraph" w:styleId="a7">
    <w:name w:val="Balloon Text"/>
    <w:basedOn w:val="a"/>
    <w:link w:val="a8"/>
    <w:uiPriority w:val="99"/>
    <w:semiHidden/>
    <w:unhideWhenUsed/>
    <w:rsid w:val="00D168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82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D1682A"/>
  </w:style>
  <w:style w:type="character" w:customStyle="1" w:styleId="2">
    <w:name w:val="Основной текст (2)_"/>
    <w:link w:val="20"/>
    <w:uiPriority w:val="99"/>
    <w:locked/>
    <w:rsid w:val="00724E99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4E99"/>
    <w:pPr>
      <w:widowControl w:val="0"/>
      <w:shd w:val="clear" w:color="auto" w:fill="FFFFFF"/>
      <w:spacing w:line="322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211pt">
    <w:name w:val="Основной текст (2) + 11 pt"/>
    <w:aliases w:val="Полужирный"/>
    <w:uiPriority w:val="99"/>
    <w:rsid w:val="00724E99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character" w:customStyle="1" w:styleId="212pt">
    <w:name w:val="Основной текст (2) + 12 pt"/>
    <w:uiPriority w:val="99"/>
    <w:rsid w:val="00724E99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F487-7456-495E-A3F9-A830BB58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cp:lastPrinted>2018-05-16T11:12:00Z</cp:lastPrinted>
  <dcterms:created xsi:type="dcterms:W3CDTF">2018-06-19T11:51:00Z</dcterms:created>
  <dcterms:modified xsi:type="dcterms:W3CDTF">2018-06-19T11:51:00Z</dcterms:modified>
</cp:coreProperties>
</file>