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E" w:rsidRPr="00A01CDE" w:rsidRDefault="003D73F6" w:rsidP="00A0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45pt;width:63pt;height:74.7pt;z-index:251659264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6" DrawAspect="Content" ObjectID="_1605962569" r:id="rId9"/>
        </w:pic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13720D" w:rsidP="0013720D">
      <w:pPr>
        <w:tabs>
          <w:tab w:val="left" w:pos="1223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D625C0" w:rsidRDefault="00703D2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C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                  м. Лисичанськ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№ </w:t>
      </w:r>
      <w:r w:rsidRPr="00D625C0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7E1A99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«</w:t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Порядку присвоєння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 об'єктам нерухомого майна у містах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Лисичанську, </w:t>
      </w:r>
      <w:proofErr w:type="spellStart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Привіллі»</w:t>
      </w:r>
    </w:p>
    <w:bookmarkEnd w:id="0"/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13720D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встановлення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Новодружеськ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єдиного функціонального механізму присвоєння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зміни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анулювання 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поштових адрес, а також закріплення основних принципів ведення адресної бази містобудівного кадастру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містах Лисичанську, </w:t>
      </w:r>
      <w:proofErr w:type="spellStart"/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Привіллі, </w:t>
      </w:r>
      <w:r w:rsidR="00851873" w:rsidRPr="0085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відповідь Антимонопольного комітету України – Луганського обласного територіального відділення від 26.09.2018 № 03-10/590,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52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ради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 «Порядок присвоєння адрес об'єктам 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 (Додаток  1).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Управлінню архітектури та містобудування забезпечити </w:t>
      </w:r>
      <w:r w:rsid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цього порядку.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5EA9" w:rsidRPr="00AC5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внутрішньої політики, зв'язку з громадськістю та засобами масової інформації забезпечити висвітлення цього рішення на офіційному сайті Лисичанської міської ради.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1CDE" w:rsidRPr="00A01CD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Якимчука А.П.</w:t>
      </w:r>
    </w:p>
    <w:p w:rsidR="00A01CDE" w:rsidRPr="00A01CDE" w:rsidRDefault="00A01CDE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С. ШИЛІН</w:t>
      </w:r>
    </w:p>
    <w:p w:rsidR="00A01CDE" w:rsidRPr="00A01CDE" w:rsidRDefault="00A01CDE" w:rsidP="00A01CD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1CDE" w:rsidRPr="00A01CDE" w:rsidSect="000B136E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01C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>Додаток  1</w:t>
      </w:r>
    </w:p>
    <w:p w:rsidR="00A01CDE" w:rsidRPr="00A01CDE" w:rsidRDefault="00A01CDE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t>до рішення виконкому</w:t>
      </w:r>
    </w:p>
    <w:p w:rsidR="00A01CDE" w:rsidRPr="00A01CDE" w:rsidRDefault="00A01CDE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t>Лисичанської міської ради від</w:t>
      </w:r>
    </w:p>
    <w:p w:rsidR="00A01CDE" w:rsidRPr="00A01CDE" w:rsidRDefault="00D625C0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04.12.2018 року № 718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ПОРЯДОК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присвоєння адрес об'єктам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710A71" w:rsidRDefault="00A01CDE" w:rsidP="00710A71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0A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положення</w:t>
      </w:r>
    </w:p>
    <w:p w:rsidR="00710A71" w:rsidRPr="00710A71" w:rsidRDefault="00710A71" w:rsidP="00710A7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Порядок присвоєння адрес об'єктам 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Привіллі (далі - Порядок) визначає єдині правила присвоєння адрес земельним ділянкам і нерозривно пов'язаним з ними будинкам, будівлям і спорудам, закріплює основні принципи присвоєння адрес, їх зміни та анулювання.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будівлі, споруди, майнового комплексу пов'язана з їх стійким місцем розташування, юридично закріплена і використовується в офіційних документах, міських інформаційних системах реєстрації громадян, суб'єктів господарської діяльності, прав на об'єкти нерухомості та інших системах. Адреса земельної ділянки використовується для зазначення місця розташування земельної ділянки в інформації Державного земельного кадастру.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Ведення адресної схеми на території міст Лисичанська, Новодружеська, Привілля здійснює управління архітектури та містобудування Лисичанської міської ради.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веденні адресної схеми наноситься найменування вулиць, провулків, проїздів і т.д., всі будови і ділянки вимагають нумерації.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Плановим матеріалом, який використовується для присвоєння та затвердження адрес, є Генеральні плани міст Лисичанська, Новодружеська, Привілля, плани зонування територій, детальні плани територій, розроблені і затверджені в установленому законом порядку.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 Кожному об'єкту нерухомості на території міст Лисичанська, Новодружеська, Привілля присвоюється унікальна адреса, тобто не повторювана раніше зареєстрована адреса іншого існуючого на момент присвоєння адреси об'єкта нерухомості.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Порядок присвоєння адрес не вносить змін, що тягнуть за собою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переадресацію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 нерухомості, дійсних на момент прийняття цього порядку.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 Найменування і перейменування вулиць, площ, парків, скверів та інших топонімічних об'єктів здійснюється рішеннями міських рад.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1.8. Цей порядок поширюється на всі види адресної інформації (адрес) щодо об'єктів нерухомості всіх форм власності в межах міст Лисичанська, Новодружеська, Привілля і є обов’язковим для виконання виконавчими органами міської ради, державними органами, підприємствами, установами організаціями, незалежно від форм власності та підпорядкування, а також фізичними та юридичними особами.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 цього Положення поширюється на юридичних і фізичних осіб, до компетенції яких належать питання оформлення технічної та правовстановлюючої документації для юридичних і фізичних осіб на об'єкти нерухомості, в тому числі на осіб, які проводять нотаріальну діяльність, а також на організації, що використовують адресну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щодо об'єктів нерухомості на території міста в офіційних документах та інформаційних системах.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 Послуга з присвоєння адреси об’єкту нерухомості здійснюється протягом 30 календарних днів з дня подання заяви до Центру надання адміністративних послуг у м. Лисичанську з необхідним пакетом документів до отримання Довідки встановленого зразка.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надання неповного комплекту документів,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Визначення термінів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У цьому порядку використовуються наступні основні терміни, визначення та поняття: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hAnsi="Times New Roman" w:cs="Times New Roman"/>
          <w:b/>
          <w:sz w:val="24"/>
          <w:szCs w:val="24"/>
          <w:lang w:val="uk-UA"/>
        </w:rPr>
        <w:t>адреса -</w:t>
      </w:r>
      <w:r w:rsidRPr="00A01CDE">
        <w:rPr>
          <w:b/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структурований опис сукупності реквізитів місця розташування об'єкта нерухомості на місцевості, що однозначно визначає даний об'єкт (країна, регіон (область), район, місто (село, селище), елементи вулично-дорожньої мережі міста та визначений порядковий номер);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адресація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присвоєння адреси об'єкту нерухомості;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алея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основна або другорядна пішохідна вулиця або дорога, що забезпечує пішохідний зв'язок з місцями прикладання праці, установами й підприємствами обслуговування, у тому числі в межах громадських центрів, місцями відпочинку, зупинками громадського транспорту;</w:t>
      </w:r>
    </w:p>
    <w:p w:rsidR="00A01CDE" w:rsidRPr="00A01CDE" w:rsidRDefault="00A01CDE" w:rsidP="00A01CDE">
      <w:pPr>
        <w:spacing w:after="0" w:line="240" w:lineRule="auto"/>
        <w:jc w:val="both"/>
        <w:rPr>
          <w:lang w:val="uk-UA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будівля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об'єкт нерухомості: житлові та нежитлові будинки, призначені для проживання або повсякденного використання,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складається з несучих та огороджувальних або сполучених  конструкцій, які утворюють наземні або підземні приміщення, призначені для життєдіяльності людей та виробництва продукції;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будинок - </w:t>
      </w:r>
      <w:r w:rsidRPr="00A01CDE">
        <w:rPr>
          <w:rFonts w:ascii="Times New Roman" w:hAnsi="Times New Roman" w:cs="Times New Roman"/>
          <w:sz w:val="24"/>
          <w:szCs w:val="24"/>
          <w:lang w:val="uk-UA"/>
        </w:rPr>
        <w:t xml:space="preserve">різновид будівлі, яка призначена, як правило, для проживання та </w:t>
      </w:r>
      <w:proofErr w:type="spellStart"/>
      <w:r w:rsidRPr="00A01CDE">
        <w:rPr>
          <w:rFonts w:ascii="Times New Roman" w:hAnsi="Times New Roman" w:cs="Times New Roman"/>
          <w:sz w:val="24"/>
          <w:szCs w:val="24"/>
          <w:lang w:val="uk-UA"/>
        </w:rPr>
        <w:t>обслуго-вування</w:t>
      </w:r>
      <w:proofErr w:type="spellEnd"/>
      <w:r w:rsidRPr="00A01CDE">
        <w:rPr>
          <w:rFonts w:ascii="Times New Roman" w:hAnsi="Times New Roman" w:cs="Times New Roman"/>
          <w:sz w:val="24"/>
          <w:szCs w:val="24"/>
          <w:lang w:val="uk-UA"/>
        </w:rPr>
        <w:t xml:space="preserve"> людей;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вулично-дорожня мережа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призначена для руху транспортних засобів і пішоходів мережа вулиць, доріг,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внутрішньоквартальні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 проїзди, тротуари, пішохідні та велосипедні доріжки, набережні, майдани, площі, а також автомобільні стоянки та майданчики для паркування транспортних засобів з інженерними та допоміжними спорудами, технічними засобами організації дорожнього руху;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домоволодіння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сукупність житлового будинку та підсобних будівель, розташованих на земельній ділянці;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заявники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власники, інші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правонабувачі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сторони правочину, у яких виникло речове право, або уповноважені ними особи;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земельна ділянка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частина земної поверхні з установленими межами, певним місцем розташування, з визначеними щодо неї правами;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01C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кадастровий номер земельної</w:t>
      </w:r>
      <w:r w:rsidRPr="00A01CDE">
        <w:rPr>
          <w:shd w:val="clear" w:color="auto" w:fill="FFFFFF"/>
          <w:lang w:val="uk-UA"/>
        </w:rPr>
        <w:t xml:space="preserve"> </w:t>
      </w:r>
      <w:r w:rsidRPr="00A01C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ділянки</w:t>
      </w:r>
      <w:r w:rsidRPr="00A01C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це індивідуальна, що не повторюється на всій території України, послідовність цифр та знаків, яка присвоюється земельній ділянці під час її державної реєстрації і зберігається за нею протягом усього часу існування;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квартира, офіс, кабінет, кімната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(кв.,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каб., кім.) - приміщення, елемент внутрішньої структури будівлі (будинку, корпусу);</w:t>
      </w:r>
    </w:p>
    <w:p w:rsidR="00A01CDE" w:rsidRPr="00A01CDE" w:rsidRDefault="003D73F6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2" w:tooltip="Корпус (будівництво) (ще не написана)" w:history="1">
        <w:r w:rsidR="00A01CDE" w:rsidRPr="00A01CDE">
          <w:rPr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корпус</w:t>
        </w:r>
      </w:hyperlink>
      <w:r w:rsidR="00A01CDE"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окрема споруда будівельного комплексу, що складається з декількох споруд;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об'єкти нерухомого майна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- об'єкти нерухомості) - земельні ділянки, а також об'єкти, розташовані на земельних ділянках ( будівля, споруда, домоволодіння, майновий комплекс тощо), переміщення яких неможливе без їх знецінення та зміни їх призначення;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E4B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об’єкти нежитлової </w:t>
      </w:r>
      <w:proofErr w:type="spellStart"/>
      <w:r w:rsidRPr="004E4B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нерухомості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proofErr w:type="spellEnd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будівлі, приміщення, що не віднесені відповідно до законодавства до житлового фонду. У нежитловій нерухомості виділяють: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а) будівлі готельні —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будівлі офісні — будівлі фінансового обслуговування, адміністративно-побутові будівлі, </w:t>
      </w:r>
      <w:proofErr w:type="spellStart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будівлі</w:t>
      </w:r>
      <w:proofErr w:type="spellEnd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конторських та адміністративних цілей;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будівлі торговельні —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гаражі — гаражі (наземні й підземні) та криті автомобільні стоянки;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ґ) будівлі промислові та склади;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будівлі для публічних виступів (казино, ігорні будинки);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господарські (присадибні) будівлі —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є) інші будівлі.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житлове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опалюване приміщення, розташоване у надземному поверсі, призначене для цілорічного проживання і яке відповідає санітарно-епідеміологічним вимогам;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нежитлове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приміщення нежитлової будівлі, та в структурі житлового будинку, що не відноситься до житлового фонду. Є самостійним об'єктом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цивільноправових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відносин 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підсобні будинку та квартири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приміщення, призначені для гігієнічних або господарсько-побутових потреб мешканців (кухня, ванна, вбиральня, душова, приміщення для прання, комора), а також передпокій,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внутрішньоквартирний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хол, коридор тощо;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технічні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 призначене для розміщення інженерного устаткування житлового будинку - обладнання теплових вузлів, бойлерних,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електро-щитових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венткамер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комутаторів, радіовузлів, холодильних установок тощо;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споруда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будівля, призначена в основному для технологічних функцій, що не має підвальних приміщень.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При присвоєнні адрес об'єктам нерухомого майна використовуються наступні типи елементів вулично-дорожньої мережі: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вулиця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(вул.) - смуга міської території, обмежена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геодезично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фіксованими границями – червоними лініями, яка призначена для руху транспортних засобів і пішоходів, з усіма розташованими на ній спорудами – складовими елементами вулиці;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дорога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- смуга землі, призначена для руху транспорту і пішоходів, що є фрагментом вулично-дорожньої мережі міста;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квартал</w:t>
      </w:r>
      <w:r w:rsidR="005478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proofErr w:type="spellStart"/>
      <w:r w:rsidR="00547852" w:rsidRPr="005478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кв-л</w:t>
      </w:r>
      <w:proofErr w:type="spellEnd"/>
      <w:r w:rsidR="005478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мікрорайон - частина забудованої території населеного пункту, яка обмежена вулицями, майданами, провулками, проїздами тощо;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площа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(пл.) - планувальний елемент серед забудови населеного пункту, вулиці чи на стику двох, або більше вулиць; ширина цієї площини суттєво більше ширини суміжної вулиці (вулиць);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провулок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(пров.) – невеликий елемент транспортно-пішохідного зв'язку всередині мікрорайону (кварталу), що поперечно з'єднує дві вулиці, інші планувальні об'єкти (проспекти, бульвари тощо);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проїзд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під’їзд транспортних засобів до житлових і громадських будинків, закладів, підприємств та інших об’єктів міської забудови в межах районів, мікрорайонів, кварталів;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проспект 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</w:t>
      </w:r>
      <w:r w:rsidR="00547852"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осп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- пряма широка магістральна вулиця загальноміського значення з автомобільним і пішохідним рухом;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тупик (</w:t>
      </w:r>
      <w:proofErr w:type="spellStart"/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туп</w:t>
      </w:r>
      <w:proofErr w:type="spellEnd"/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.)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відрізок дороги з забудовою в середині кварталу, який не має наскрізного проїзду.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2.3. Об'єктами адресації є всі об'єкти нерухомості: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первинний об'єкт адресації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земельна ділянка, будинок, домоволодіння, будівля, споруда, які визначають основні цільові призначення об'єктів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вторинний об'єкт адресації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просторова частина первинного об'єкта нерухомості: квартира, житлове або нежитлове приміщення, у тому числі вбудоване або прибудоване, яке є самостійним об'єктом цивільного обороту;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елемент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який описує місце розташування об'єкта нерухомості на території міста;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адреси об'єкту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 адреси об'єкта адресації, що складається з послідовності цифр з можливим додаванням літери (а, б, в, г і так далі, крім букв ґ, е, є, з, і, ї, й, о, х,ч, ь, щ);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присвоєння адреси (адресація) об'єкту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процедура присвоєння порядкового номера об'єкту нерухомості на пойменованому елементі вулично-дорожньої мережі;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анулювання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виключення запису про адресу об'єкта нерухомості з Єдиного реєстру адрес міста;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зміна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переадресація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- процедура зміни раніше присвоєної адреси у зв'язку з перейменуванням елементів вулично-дорожньої мережі міста або зміною інших реквізитів адреси;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будівельна адреса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адреса, яка використовується для ідентифікації об'єктів нерухомого майна на період його будівництва;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найменувань вулиць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систематизований звід найменувань вулиць, площ, провулків, проїздів, тупиків тощо.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Адреса складається з таких реквізитів: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місто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найменування територіально-адміністративної одиниці, що входить до складу України;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геонім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(елемент вулично-дорожньої мережі) - реквізит, що містить найменування об'єктів з Переліку найменувань вулиць, провулків, проїздів, тупиків, площ, кварталів,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затвердже-ного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установленому порядку;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первинного об'єкта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об'єкта на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геонімі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(земельна ділянка, будинок, будівля, споруда), що є обов'язковим;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вторинного об'єкта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просторової частини первинного об'єкта нерухомості (квартира, житлові або нежитлові приміщення, вбудовано-прибудовані приміщення), який не є обов'язковим.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</w:t>
      </w:r>
      <w:r w:rsidRPr="00A01CDE"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терміни вживаються у цьому Порядку у значенні, наведеному в Законі України «Про державну реєстрацію речових прав на нерухоме майно та їх обтяжень» та інших нормативно-правових актах, прийнятих відповідно до зазначеного Закону.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Загальні правила присвоєння адрес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Об'єкт нерухомості адресується щодо пойменованого елемента вулично-дорожньої мережі міст Лисичанська, Новодружеська, Привілля.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Присвоєння адреси та нумерація будинків, що утворюють безперервну лінію забудови і розташовані на вулицях міст, здійснюється з непарними номерами по лівій стороні вулиці і з парними номерами - по правій.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BFC" w:rsidRPr="004E4BFC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3.3. Будинкам, які знаходяться на перетині вулиць різних категорій, присвоюється адреса по вулиці вищої категорії відповідно до установленої класифікації вулиць згідно із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ДБН Б.2.2-12:2018 «Планування і забудова територій»</w:t>
      </w:r>
      <w:r w:rsidR="005876AD"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3.4. Будинкам, які знаходяться на перетині вулиць рівних категорій, присвоюється адреса по вулиці, на яку виходить головний фасад будинку. У випадку, якщо на них виходять два рівнозначних фасади одного будинку, адреса присвоюється по вулиці, яка йде в напрямку до центру міста.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 Присвоєння адрес об'єктам нерухомості, розташованим між двома будівлями, корпусами або будинками з послідовними адресами, здійснюється з використанням меншого номера відповідного об'єкта з додаванням до нього літери.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3.6. Зовнішні прибудови до будинку, які розташовані поза контуром його капітальних зовнішніх стін і не мають проходу від прибудови до будинку при наявності окремого входу, а також мають інше функціональне призначення, можуть адресуватися в установленому порядку як самостійні будівлі, з присвоєнням через дефіс літери  українського алфавіту по порядку.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3.7. Адреса земельної ділянки (незабудованої земельної ділянки) визначається з урахуванням сформованої адресації прилеглих об'єктів нерухомості на підставі містобудівної, проектної та землевпорядної документації.  В подальшому адреса незабудованої земельної ділянки нерозривно пов’язана з будівлями та спорудами, що будуються на цій земельній ділянці.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3.8. При виявленні подвійних (повторюваних) адрес раніше адресованих об'єктів нерухомості присвоєння (зміна) адрес здійснюється з використанням літер українського алфавіту, що додаються до номера. В даному випадку пріоритет залишення первинного адресного номера має багатоповерховий житловий будинок перед одноповерховим, житлове приміщення перед нежитловим.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3.9. У разі необхідності адресації об'єкта нерухомості з подвійними номерами запис проводиться виключно через дефіс (-).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710A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присвоєння окремої поштової адреси об'єктам нерухомості, які виділено зі складу майнового комплексу, що має єдину поштову адресу, об'єктам нерухомості присвоюється адреса за вулицею та номером поштової адреси майнового комплексу з позначенням виділеного об'єкта нерухомості через дефіс літерою українського алфавіту від “а” і далі.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Наприклад: вул. Веселкова, будинок 3-а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Вбудованому нежитловому приміщенню (яке не має службового, допоміжного або технічного призначення), розташованому в житловому, громадському будинку або адміністративній будівлі надається окремий номер.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Наприклад: вул. Веселкова, будинок 3, офіс (кабінет, кімната, нежитлове приміщення, тощо) 2.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3.12.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зміні функціонального призначення окремої частини будівлі, споруди, яка є самостійним об'єктом цивільно-правових відносин та має окремий вхід (вихід), поштова адреса такій частині будівлі, споруди присвоюється шляхом додавання до поштової адреси будівлі, споруди окремого порядкового номера такої частини.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Наприклад: вул. Веселкова, будинок 3, нежитлове приміщення (гараж, котельня, тощо) 2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Будівельна адреса нерухомого майна чинна до завершення будівництва, та введення його в експлуатацію в установленому порядку.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Не допускається: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двох однакових адрес у різних земельних ділянок, крім  присадибних ділянок, до складу яких входять декілька земельних ділянок за різними видами цільового використання землі відповідно до норм приватизації, встановлених Земельним кодексом України;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двох однакових адрес у об'єктів капітального будівництва, розташованих на різних земельних ділянках;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різних адрес у одного об'єкта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Адреса не присвоюється наступним об'єктам: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об’єктам, які відносяться до категорії самочинного будівництва, без наявності документів відповідно до законодавства та цього Порядку;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лісовим масивам;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багаторічним насадженням;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мережам водопроводу і каналізації;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лінійним спорудам трубопроводів;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лініям електропередач;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залізницям;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автомобільним дорогам;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водоймам;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мостам і шляхопроводам;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підземним та надземних пішохідним переходам;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тимчасовим спорудам (ТС);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малим архітектурним формам (МАФ);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зовнішнім рекламним конструкціям;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контейнерним майданчикам;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земельним ділянкам, наданим для сезонного використання і для цілей, не пов'язаних з будівництвом;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нестаціонарним (мобільним) об'єктам сфери торгівлі і послуг;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зупинкам громадського транспорту;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металевим гаражам;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підсобним будівлям, що є частиною домоволодіння; 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розташованим у будівлях та житлових будинках, приміщенням службового, допоміжного та технічного призначення, в яких наявні інженерні мережі та інші предмети, що використовуються для обслуговування цих будівель; 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часткам житлових будинків, будівель або споруд, окремим житловим та нежитловим приміщенням у житлових будинках (за винятком  технічної можливості здійснення поділу </w:t>
      </w:r>
      <w:r w:rsidR="00A01CDE" w:rsidRPr="00A01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(виділу) на частки на підставі висновку організації (</w:t>
      </w:r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у складі </w:t>
      </w:r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якої працює один або більше відповідальних виконавців окремих видів робіт (послуг), пов'язаних із створенням об'єктів архітектури, які пройшли професійну атестацію у </w:t>
      </w:r>
      <w:proofErr w:type="spellStart"/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Мінрегіоні</w:t>
      </w:r>
      <w:proofErr w:type="spellEnd"/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України та отримали кваліфікаційний сертифікат відповідно до Закону України "Про архітектурну діяльність"</w:t>
      </w:r>
      <w:r w:rsidR="00AC439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технічну можливість такого поділу (виділу) та нотаріально засвідченого договору (купівлі-продажу, дарування, тощо) </w:t>
      </w:r>
      <w:r w:rsidR="00A01CDE" w:rsidRPr="00A01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 на підставі рішення суду)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дачним та садовим будинкам, розташованих в  садових товариствах, окрім випадків, коли міською радою присвоєні назви вулиць на території, яка відведена товариству.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3.16. Виняток становлять і можуть адресуватися в установленому порядку як самостійні (первинні) об'єкти нерухомості  садові будиночки із земельними ділянками, переведені в установленому порядку в індивідуальні житлові будинки та виведені зі складу садівничого товариства. </w:t>
      </w:r>
    </w:p>
    <w:p w:rsidR="00C52266" w:rsidRDefault="00C52266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3.17 Підставою для відмови в присвоєнні чи зміні, анулюванні поштової адреси, крім зазначених у Порядку, може бути: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невідповідність об’єкта вимогам цього Порядку;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порушення вимог державних будівельних норм і правил при поділі (об’єднанні) об’єктів;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подання заявником недостовірних відомостей;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подання заявником неповного пакету документів.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Порядок адресації об'єктів нерухомості.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lang w:val="uk-UA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Присвоєння адреси об'єкту нерухомості проводиться за заявою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Заявника на підставі дозвільних або правовстановлюючих документів, які підтверджують майнові права заявника на об'єкт нерухомості що адресується, на підставі прийняття відповідного рішення виконавчого комітету міської ради протягом 30 календарних днів з дня подання заяви з необхідним пакетом документів.</w:t>
      </w:r>
      <w:r w:rsidRPr="00A01CDE">
        <w:rPr>
          <w:lang w:val="uk-UA"/>
        </w:rPr>
        <w:t xml:space="preserve"> 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Адреса земельної ділянки (незабудованої земельної ділянки) визначається з урахуванням сформованої адресації найближчих об’єктів нерухомості на підставі графічного матеріалу, на якому позначено бажане місце розташування, розмір земельної ділянки та бажане цільове призначення земельної ділянки, за наявної можливості з прив'язкою до елементів вулично-дорожньої мережі. Адреса земельної ділянки використовується для зазначення місця розташування земельної ділянки в документації із землеустрою та в інформації Державного земельного кадастру.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Управління архітектури та містобудування перед підготовкою проекту рішення виконкому щодо присвоєння, зміни або анулювання адреси розглядає звернення про присвоєння адресного номера об’єкту нерухомості з відповідним пакетом</w:t>
      </w:r>
      <w:r w:rsidR="00AC4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документів в термін, зазначений цим Порядком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01CDE" w:rsidRPr="00A01CDE" w:rsidRDefault="00A01CDE" w:rsidP="00A01C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або невідповідності документів, зазначених у даному Порядку, управління надає замовнику вмотивовану письмову відмову. </w:t>
      </w:r>
    </w:p>
    <w:p w:rsidR="00A01CDE" w:rsidRPr="00A01CDE" w:rsidRDefault="00A01CDE" w:rsidP="00A01C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архітектури та містобудування Лисичанської міської ради направляє запит в управління власності Лисичанської міської ради та </w:t>
      </w:r>
      <w:r w:rsidR="00AC4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исичанське комунальне підприємство «БТІ», які надають погодження присвоєння адреси, або вмотивовану відмову.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Одночасно відповідальний спеціаліст управління архітектури та містобудування Лисичанської міської ради  перевіряє відповідність картографічних матеріалів і документів фактичному розташуванню об’єктів нерухомого майна та земельних ділянок. При необхідності, попередньо обстежує місце розташування даного об’єкта нерухомості та проводить перевірку на відсутність існування ідентичної адреси для відповідного об’єкта нерухомості.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результатами розгляду заяв, матеріалів та погоджень, управління архітектури та містобудування Лисичанської міської ради готує проект рішення виконкому щодо присвоєння адресного номера об’єкту нерухомості.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вважається присвоєною з моменту підписання рішення виконкому.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4.4.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Звернення, додані документи та інформація щодо адресних номерів зберігається в управлінні архітектури та містобудування Лисичанської міської ради  на паперових носіях та використовується для ведення містобудівного кадастру міст Лисичанська, Новодружеська, Привілля.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4.5. Підтвердження присвоєння адреси об'єкту нерухомості здійснюється за заявою про надання довідки зацікавленої особи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за запитами органів державної влади та місцевого самоврядування шляхом видачі довідки встановленого зразка управлінням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архітектури та містобудування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протягом 30 календарних днів з дня подання заяви з необхідним пакетом документів.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отримання довідки заявник надає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надання адміністративних послуг у м. Лисичанську</w:t>
      </w:r>
      <w:r w:rsid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4BFC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(надалі ЦНАП)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заяву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копію документа що посвідчує особу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правовстановлюючі документи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(копію)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підтверджують майнові права заявника на об'єкт нерухомості</w:t>
      </w:r>
      <w:r w:rsid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0247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</w:t>
      </w:r>
      <w:r w:rsidRPr="00A01CDE"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поштовому відправленні копії документів мають бути завірені нотаріально.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 Для присвоєння адреси об'єкту нерухомості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надання адміністративних послуг у м. Лисичанську (надалі ЦНАП)</w:t>
      </w:r>
      <w:r w:rsidR="000247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наступні документи: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земельним ділянкам (незабудованим):</w:t>
      </w:r>
    </w:p>
    <w:p w:rsidR="00A01CDE" w:rsidRPr="00E20BA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20BA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а) по несформованим земельним ділянкам: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клопотання управління власності Лисичанської міської ради про присвоєння адреси земельній ділянці;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графічний матеріал, на якому позначено бажане місце розташування, розмір земельної ділянки та бажане цільове призначення;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r w:rsidRPr="00E20BA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 сформованим земельним ділянкам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рішення міської ради про затвердження проекту землеустрою щодо відведення земельної ділянки;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правовстановлюючого документа на земельну ділянку із графічним матеріалом, на якому позначено місце розташування земельної ділянки.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новозбудованих  об'єктів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документу на земельну ділянку, згідно вимог земельного законодавства;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дозвільн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будівництво (повідомлення про початок будівельних робіт), або документи, що засвідчують закінчення робіт з будівництва об'єкта (декларація або сертифікат про готовність об'єкта до експлуатації ), або звіт з технічного обстеження будівель і споруд, який підтверджує можливість збереження об'єкта та його добудування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(копії)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(копія0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4.6.3.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існуючих об'єктів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 (додаток 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документа на об'єкт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нерухомості;</w:t>
      </w:r>
    </w:p>
    <w:p w:rsidR="00A01CDE" w:rsidRPr="00E55A1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копія правовстановлюючого документа на земельну ділянку, згідно вимог земельного законодавства</w:t>
      </w:r>
      <w:r w:rsidRP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 паспорту  на об'єкт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закінчених реконструкцією об'єктів, які змінили своє функціональне призначення: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адреси)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об'єкту нерухомості (додаток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технічний паспорт  на об'єкт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прийнятого компетентним органом рішення про зміну статусу, або функціонального призначення об'єкта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копію документа (декларація, свідоцтво), що засвідчує </w:t>
      </w:r>
      <w:r w:rsidRPr="00A01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введення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об’єкта в експлуатацію.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4.6.5.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присвоєння будівельної адреси: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документу на земельну ділянку, згідно вимог земельного законодавства;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повідомлення про початок будівельних робіт із зазначеною заявником в установленому порядку будівельною адресою (інформація про місцезнаходження об'єкта будівництва);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затверджена в установленому порядку проектна документація об'єкта будівництва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4.6.6.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новоутвореним об’єктам у разі об’єднання або поділу на самостійні об’єкти: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прийняте компетентним органом рішення про об’єднання або поділ об’єкту адресації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договору про поділ спільного майна, або договору про виділ у натурі частки із спільного майна, або відповідне рішення суду;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технічний паспорт  на об'єкт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матеріали технічної інвентаризації затверджені у встановленому порядку, про об’єднання, або роз'єднання об'єктів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 При поштовому відправленні копії документів мають бути завірені нотаріально.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4.7. У разі надання неповного комплекту документів, зазначених у цьому розділі,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Зміна адрес об'єктів нерухомості, анулювання адреси.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Причинами зміни адрес об'єктів можуть бути: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включення земель суміжних адміністративно-територіальних одиниць в межі міста в порядку, передбаченому чинним законодавством;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виявлені в результаті обробки документів невідповідності існуючої адреси об'єкта нерухомості його фактичному розташуванню на території міст Лисичанська, Новодружеська, Привілля та адресам, присвоєним іншим об'єктам;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поділ на самостійні об’єкти або об’єднання самостійних об'єктів в один об'єкт нерухомості, згідно чинного законодавства;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інші підстави, передбачені чинним законодавством.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5.2. Для зміни адреси об'єкту нерухомості та його реєстрації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ЦНАП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документи: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4E4BF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правовстановлюючого документа на об'єкт;</w:t>
      </w:r>
    </w:p>
    <w:p w:rsidR="00A01CDE" w:rsidRPr="004E4BF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правовстановлюючого документа на земельну ділянку, згідно вимог земельного законодавства;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 паспорту на об'єкт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5.3. Анулювання адреси відбувається у разі: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фактичного (фізичного) знищення об'єкта нерухомості, якому раніше було присвоєно адресу при наявності припинення права власності за рішенням суду, або за рішенням виконавчого органу місцевого самоврядування;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виключення у порядку, встановленому чинним законодавством, земель з меж міста;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настання інших випадків, передбачених чинним законодавством.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5.4. Анулювання адреси проводиться на підставі заяви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зацікавленої особи. При цьому в адресній схемі, яка знаходиться в управлінні архітектури та містобудування зберігається стара адреса об'єкту нерухомості з відміткою «Адреса анульована».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 Для анулювання адреси об'єкту нерухомості та його реєстрації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наступні документи: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довідка з ЛКП «БТІ» про знищення об’єкта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5.6. Зміна або анулювання адрес об'єктів нерухомості на території міст Лисичанська, Новодружеська та Привілля здійснюється на підставі прийняття відповідного рішення виконавчого комітету міської ради.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5.7. Інформація про зміну/анулювання адресованого раніше об'єкта нерухомості здійснюється за заявою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зацікавленої особи (у разі звернення представника - довіреність на представлення інтересів заявника), за запитами органів державної влади та місцевого самоврядування через видачу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встановленого зразка управлінням архітектури та містобудування протягом 30 календарних днів з дня подання заяви з необхідним пакетом документів. 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отримання довідки заявник надає до </w:t>
      </w:r>
      <w:r w:rsidR="0075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заяву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копію документа що посвідчує особу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 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копію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правовстановлюю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чих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підтверджують майнові права</w:t>
      </w:r>
      <w:r w:rsid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заявника на об'єкт нерухомості</w:t>
      </w:r>
      <w:r w:rsid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44C58" w:rsidRDefault="00044C58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 При поштовому відправленні копії документів мають бути завірені нотаріально.</w:t>
      </w:r>
    </w:p>
    <w:p w:rsidR="00044C58" w:rsidRDefault="00044C58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 виконання даної послуги протягом 30 календарних днів з дня подання заяви з необхідним пакетом документів.</w:t>
      </w:r>
    </w:p>
    <w:p w:rsidR="00C52266" w:rsidRDefault="00C52266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У разі надання неповного комплекту документів, зазначених у цьому розділі,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5.9. Адреси об’єктів нерухомого майна та земельних ділянок, розташованих на території міст, присвоєні до набрання чинності цим Порядком, зберігаються та за зверненням заявників можуть бути переглянуті в частині присвоєння нової адреси відповідно до цього Порядку.</w:t>
      </w:r>
    </w:p>
    <w:p w:rsid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D1EB5" w:rsidRPr="00A01CDE" w:rsidRDefault="003D1EB5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56B9" w:rsidRPr="003D1EB5" w:rsidRDefault="003D1EB5" w:rsidP="00A01CDE">
      <w:pPr>
        <w:spacing w:line="240" w:lineRule="auto"/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  <w:t>А. ЯКИМЧУК</w:t>
      </w:r>
    </w:p>
    <w:p w:rsidR="000056B9" w:rsidRPr="003D1EB5" w:rsidRDefault="000056B9" w:rsidP="00A01CDE">
      <w:pPr>
        <w:spacing w:line="240" w:lineRule="auto"/>
      </w:pP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Pr="00C52266"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архітектури та містобудування, </w:t>
      </w:r>
    </w:p>
    <w:p w:rsid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>головний архітектор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  <w:t>О. ОЛЕЙНІЧЕНКО</w:t>
      </w:r>
    </w:p>
    <w:p w:rsid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1CDE" w:rsidRPr="00A01CDE" w:rsidRDefault="00A01CDE" w:rsidP="000056B9">
      <w:pPr>
        <w:spacing w:after="0" w:line="240" w:lineRule="auto"/>
        <w:rPr>
          <w:lang w:val="uk-UA"/>
        </w:rPr>
        <w:sectPr w:rsidR="00A01CDE" w:rsidRPr="00A01CDE" w:rsidSect="00A15830">
          <w:headerReference w:type="first" r:id="rId13"/>
          <w:pgSz w:w="11906" w:h="16838"/>
          <w:pgMar w:top="28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01CDE">
        <w:rPr>
          <w:lang w:val="uk-UA"/>
        </w:rPr>
        <w:br w:type="page"/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90469">
        <w:rPr>
          <w:rFonts w:ascii="Times New Roman" w:eastAsia="Times New Roman" w:hAnsi="Times New Roman" w:cs="Times New Roman"/>
          <w:lang w:val="uk-UA" w:eastAsia="ru-RU"/>
        </w:rPr>
        <w:t>1</w:t>
      </w:r>
    </w:p>
    <w:p w:rsidR="001969AB" w:rsidRPr="001969AB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A01CDE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="00A01CDE"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_________________________</w:t>
      </w:r>
    </w:p>
    <w:p w:rsidR="00A01CDE" w:rsidRPr="00A01CDE" w:rsidRDefault="00A01CDE" w:rsidP="00A01CDE">
      <w:pPr>
        <w:spacing w:after="0" w:line="240" w:lineRule="auto"/>
        <w:ind w:left="453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(Лисичанської, Новодружеської, </w:t>
      </w:r>
      <w:proofErr w:type="spellStart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A01CDE" w:rsidRPr="00A01CDE" w:rsidRDefault="00A01CDE" w:rsidP="00A01CDE">
      <w:pPr>
        <w:spacing w:after="0" w:line="240" w:lineRule="auto"/>
        <w:ind w:left="4536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Заявника/назва юридичної особи повністю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 бажано друкованими літерами)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______ № _______________,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(для фізичної особи)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/код ЄДРПОУ________________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присвоєння адреси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(про зміну адреси, або анулювання адреси)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(потрібне підкреслити)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об'єкту нерухомості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присвоїти (змінити, анулювати) адресу новозбудованому об’єкту (вільній земельній ділянці / існуючому об'єкту / закінченому реконструкцією об'єкту який змінив своє функціональне призначення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будівельну/ новоутвореному об’єкту у разі об’єднання або поділу на самостійні об’єкти)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_________________________________________________________________, який розташований у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місті__________________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______,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__________________________,в будинку/в районі будинку № _____.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заяви додаю: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                                                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по-батькові)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 20      р.</w:t>
      </w:r>
    </w:p>
    <w:p w:rsidR="00A01CDE" w:rsidRPr="00A01CDE" w:rsidRDefault="00A01CDE" w:rsidP="00A01CDE">
      <w:pPr>
        <w:spacing w:line="240" w:lineRule="auto"/>
        <w:ind w:left="2832" w:firstLine="708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vertAlign w:val="superscript"/>
          <w:lang w:val="uk-UA" w:eastAsia="ru-RU"/>
        </w:rPr>
        <w:br w:type="page"/>
      </w:r>
    </w:p>
    <w:p w:rsidR="00A01CDE" w:rsidRPr="00A01CDE" w:rsidRDefault="00A01CDE" w:rsidP="00A01CDE">
      <w:pPr>
        <w:spacing w:line="240" w:lineRule="auto"/>
        <w:ind w:left="2832" w:firstLine="708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default" r:id="rId14"/>
          <w:headerReference w:type="first" r:id="rId15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90469">
        <w:rPr>
          <w:rFonts w:ascii="Times New Roman" w:eastAsia="Times New Roman" w:hAnsi="Times New Roman" w:cs="Times New Roman"/>
          <w:lang w:val="uk-UA" w:eastAsia="ru-RU"/>
        </w:rPr>
        <w:t>2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штамп управління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ДОВІДКА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підтвердження адреси об'єкта нерухомості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 20___ року                                                   № 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Надана 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тому, що об'єкту нерухомості 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(земельна ділянка, будинок, будівля, споруда)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підтверджена адреса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(земельної ділянки, будинку, будівлі, споруди)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________________________________________, Луганської області, Україна.</w:t>
      </w:r>
    </w:p>
    <w:p w:rsidR="00A01CDE" w:rsidRPr="00A01CDE" w:rsidRDefault="00A01CDE" w:rsidP="00A0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(Лисичанськ, Новодружеськ, Привілля)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містобудування,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архітектор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(підпис)   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A01CDE" w:rsidRPr="00A01CDE" w:rsidRDefault="00A01CDE" w:rsidP="00A01C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довідки № 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                                                                            (ініціали та прізвище)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01CDE" w:rsidRPr="00A01CDE" w:rsidSect="001969AB"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A1666">
        <w:rPr>
          <w:rFonts w:ascii="Times New Roman" w:eastAsia="Times New Roman" w:hAnsi="Times New Roman" w:cs="Times New Roman"/>
          <w:lang w:val="uk-UA" w:eastAsia="ru-RU"/>
        </w:rPr>
        <w:t>3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 управління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та містобудування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ДОВІДКА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зміну/анулювання адреси об'єкта нерухомості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 20___ року                                   № 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Надана ________________________________________________________________ 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тому, що об'єкту нерухомості ___________________________________________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(земельна ділянка, будинок, будівля, споруда)</w:t>
      </w:r>
    </w:p>
    <w:p w:rsidR="00A01CDE" w:rsidRPr="00A01CDE" w:rsidRDefault="00A01CDE" w:rsidP="00A01CD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Змінена/анульована адреса ___________________________________________________№_________________</w:t>
      </w:r>
    </w:p>
    <w:p w:rsidR="00A01CDE" w:rsidRPr="00A01CDE" w:rsidRDefault="00A01CDE" w:rsidP="00A01CD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(нову адресу)________________________________________________________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(земельної ділянки, будівлі, споруди)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(рішення міської ради, рішення суду тощо)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_______________________________________, Луганської області, Україна.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та містобудування,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до довідки № _____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                                (ініціали та прізвище)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vertAlign w:val="superscript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default" r:id="rId16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A1666">
        <w:rPr>
          <w:rFonts w:ascii="Times New Roman" w:eastAsia="Times New Roman" w:hAnsi="Times New Roman" w:cs="Times New Roman"/>
          <w:lang w:val="uk-UA" w:eastAsia="ru-RU"/>
        </w:rPr>
        <w:t>4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_________________________</w:t>
      </w:r>
    </w:p>
    <w:p w:rsidR="00A01CDE" w:rsidRPr="00A01CDE" w:rsidRDefault="00A01CDE" w:rsidP="00A01CDE">
      <w:pPr>
        <w:spacing w:after="0" w:line="240" w:lineRule="auto"/>
        <w:ind w:left="453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(Лисичанської, Новодружеської, </w:t>
      </w:r>
      <w:proofErr w:type="spellStart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A01CDE" w:rsidRPr="00A01CDE" w:rsidRDefault="00A01CDE" w:rsidP="00A01CDE">
      <w:pPr>
        <w:spacing w:after="0" w:line="240" w:lineRule="auto"/>
        <w:ind w:left="4536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Заявника/назва юридичної особи повністю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 бажано друкованими літерами)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______ № _______________,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(для фізичної особи)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/код ЄДРПОУ________________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______________________________</w:t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довідки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довідку  про підтвердження (зміну або анулювання)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адреси об’єкта нерухомості, який розташований у місті ____________________, по вул. ____________________________________, в районі будинку  № ________.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 додаються: 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                                                __________________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по-батькові)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 20      р.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first" r:id="rId17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876AF" w:rsidRPr="00A01CDE" w:rsidRDefault="00A876AF" w:rsidP="001329F3">
      <w:pPr>
        <w:spacing w:after="0" w:line="240" w:lineRule="auto"/>
        <w:rPr>
          <w:lang w:val="uk-UA"/>
        </w:rPr>
      </w:pPr>
    </w:p>
    <w:sectPr w:rsidR="00A876AF" w:rsidRPr="00A01CDE" w:rsidSect="001969AB">
      <w:headerReference w:type="default" r:id="rId18"/>
      <w:pgSz w:w="11907" w:h="16840"/>
      <w:pgMar w:top="719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F6" w:rsidRDefault="003D73F6">
      <w:pPr>
        <w:spacing w:after="0" w:line="240" w:lineRule="auto"/>
      </w:pPr>
      <w:r>
        <w:separator/>
      </w:r>
    </w:p>
  </w:endnote>
  <w:endnote w:type="continuationSeparator" w:id="0">
    <w:p w:rsidR="003D73F6" w:rsidRDefault="003D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F6" w:rsidRDefault="003D73F6">
      <w:pPr>
        <w:spacing w:after="0" w:line="240" w:lineRule="auto"/>
      </w:pPr>
      <w:r>
        <w:separator/>
      </w:r>
    </w:p>
  </w:footnote>
  <w:footnote w:type="continuationSeparator" w:id="0">
    <w:p w:rsidR="003D73F6" w:rsidRDefault="003D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602120"/>
      <w:docPartObj>
        <w:docPartGallery w:val="Page Numbers (Top of Page)"/>
        <w:docPartUnique/>
      </w:docPartObj>
    </w:sdtPr>
    <w:sdtEndPr/>
    <w:sdtContent>
      <w:p w:rsidR="00044C58" w:rsidRDefault="00044C58" w:rsidP="001969AB">
        <w:pPr>
          <w:pStyle w:val="a4"/>
          <w:ind w:firstLine="467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99">
          <w:rPr>
            <w:noProof/>
          </w:rPr>
          <w:t>11</w:t>
        </w:r>
        <w:r>
          <w:fldChar w:fldCharType="end"/>
        </w:r>
        <w:r>
          <w:rPr>
            <w:lang w:val="uk-UA"/>
          </w:rPr>
          <w:tab/>
          <w:t>Продовження додатка  1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22984"/>
      <w:docPartObj>
        <w:docPartGallery w:val="Page Numbers (Top of Page)"/>
        <w:docPartUnique/>
      </w:docPartObj>
    </w:sdtPr>
    <w:sdtEndPr/>
    <w:sdtContent>
      <w:p w:rsidR="00044C58" w:rsidRDefault="00044C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99">
          <w:rPr>
            <w:noProof/>
          </w:rPr>
          <w:t>1</w:t>
        </w:r>
        <w:r>
          <w:fldChar w:fldCharType="end"/>
        </w:r>
      </w:p>
    </w:sdtContent>
  </w:sdt>
  <w:p w:rsidR="00044C58" w:rsidRDefault="00044C58" w:rsidP="001969A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103162" w:rsidRDefault="00044C58" w:rsidP="001969AB">
    <w:pPr>
      <w:pStyle w:val="a4"/>
      <w:rPr>
        <w:lang w:val="uk-UA"/>
      </w:rPr>
    </w:pPr>
    <w:r>
      <w:ptab w:relativeTo="margin" w:alignment="center" w:leader="none"/>
    </w:r>
    <w:r>
      <w:t>2</w:t>
    </w:r>
    <w:r>
      <w:ptab w:relativeTo="margin" w:alignment="right" w:leader="none"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</w:t>
    </w:r>
    <w:proofErr w:type="spellEnd"/>
    <w:r>
      <w:rPr>
        <w:lang w:val="uk-UA"/>
      </w:rPr>
      <w:t>а</w:t>
    </w:r>
    <w:r>
      <w:t xml:space="preserve"> </w:t>
    </w:r>
    <w:r>
      <w:rPr>
        <w:lang w:val="uk-UA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 w:rsidP="001969AB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103162" w:rsidRDefault="00044C58" w:rsidP="001969AB">
    <w:pPr>
      <w:pStyle w:val="a4"/>
      <w:rPr>
        <w:lang w:val="uk-UA"/>
      </w:rPr>
    </w:pPr>
    <w:r>
      <w:ptab w:relativeTo="margin" w:alignment="center" w:leader="none"/>
    </w:r>
    <w:r>
      <w:t>2</w:t>
    </w:r>
    <w:r>
      <w:ptab w:relativeTo="margin" w:alignment="right" w:leader="none"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</w:t>
    </w:r>
    <w:proofErr w:type="spellEnd"/>
    <w:r>
      <w:rPr>
        <w:lang w:val="uk-UA"/>
      </w:rPr>
      <w:t>а</w:t>
    </w:r>
    <w:r>
      <w:t xml:space="preserve"> </w:t>
    </w:r>
    <w:r>
      <w:rPr>
        <w:lang w:val="uk-UA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 w:rsidP="001969AB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7B01E5" w:rsidRDefault="00044C58" w:rsidP="00196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6"/>
    <w:multiLevelType w:val="hybridMultilevel"/>
    <w:tmpl w:val="2F9A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995"/>
    <w:multiLevelType w:val="hybridMultilevel"/>
    <w:tmpl w:val="897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3B714F"/>
    <w:multiLevelType w:val="hybridMultilevel"/>
    <w:tmpl w:val="8BE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BD4B6E"/>
    <w:multiLevelType w:val="hybridMultilevel"/>
    <w:tmpl w:val="1482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E"/>
    <w:rsid w:val="000056B9"/>
    <w:rsid w:val="00024736"/>
    <w:rsid w:val="00044C58"/>
    <w:rsid w:val="000B136E"/>
    <w:rsid w:val="0011414B"/>
    <w:rsid w:val="001329F3"/>
    <w:rsid w:val="0013720D"/>
    <w:rsid w:val="001969AB"/>
    <w:rsid w:val="001D5C6F"/>
    <w:rsid w:val="002547D1"/>
    <w:rsid w:val="00267A45"/>
    <w:rsid w:val="003D1EB5"/>
    <w:rsid w:val="003D73F6"/>
    <w:rsid w:val="00452B94"/>
    <w:rsid w:val="00466D61"/>
    <w:rsid w:val="004E4BFC"/>
    <w:rsid w:val="00547852"/>
    <w:rsid w:val="005876AD"/>
    <w:rsid w:val="005F7F11"/>
    <w:rsid w:val="00703D2E"/>
    <w:rsid w:val="00710A71"/>
    <w:rsid w:val="00751BC5"/>
    <w:rsid w:val="00773284"/>
    <w:rsid w:val="00790469"/>
    <w:rsid w:val="007A1666"/>
    <w:rsid w:val="007E1A99"/>
    <w:rsid w:val="00851873"/>
    <w:rsid w:val="009872BC"/>
    <w:rsid w:val="009B0C13"/>
    <w:rsid w:val="00A01CDE"/>
    <w:rsid w:val="00A15830"/>
    <w:rsid w:val="00A876AF"/>
    <w:rsid w:val="00AC439D"/>
    <w:rsid w:val="00AC5EA9"/>
    <w:rsid w:val="00B608B5"/>
    <w:rsid w:val="00B92D04"/>
    <w:rsid w:val="00BE52F7"/>
    <w:rsid w:val="00C52266"/>
    <w:rsid w:val="00C8201B"/>
    <w:rsid w:val="00CC1050"/>
    <w:rsid w:val="00D625C0"/>
    <w:rsid w:val="00DC25E6"/>
    <w:rsid w:val="00E12B91"/>
    <w:rsid w:val="00E20BAC"/>
    <w:rsid w:val="00E55A1D"/>
    <w:rsid w:val="00F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/index.php?title=%D0%9A%D0%BE%D1%80%D0%BF%D1%83%D1%81_(%D0%B1%D1%83%D0%B4%D1%96%D0%B2%D0%BD%D0%B8%D1%86%D1%82%D0%B2%D0%BE)&amp;action=edit&amp;redlink=1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20</cp:revision>
  <cp:lastPrinted>2018-11-28T06:44:00Z</cp:lastPrinted>
  <dcterms:created xsi:type="dcterms:W3CDTF">2018-10-31T08:17:00Z</dcterms:created>
  <dcterms:modified xsi:type="dcterms:W3CDTF">2018-12-10T13:56:00Z</dcterms:modified>
</cp:coreProperties>
</file>