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72" w:rsidRDefault="00B97272" w:rsidP="00B97272">
      <w:pPr>
        <w:pStyle w:val="ac"/>
        <w:tabs>
          <w:tab w:val="left" w:pos="6950"/>
          <w:tab w:val="left" w:pos="7455"/>
        </w:tabs>
        <w:jc w:val="right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8pt;margin-top:-47.7pt;width:51.55pt;height:63.7pt;z-index:251658240;visibility:visible;mso-wrap-edited:f" o:preferrelative="f" wrapcoords="-173 0 -173 21458 21600 21458 21600 0 -173 0">
            <v:imagedata r:id="rId9" o:title=""/>
            <o:lock v:ext="edit" aspectratio="f"/>
          </v:shape>
          <o:OLEObject Type="Embed" ProgID="Word.Picture.8" ShapeID="_x0000_s1026" DrawAspect="Content" ObjectID="_1610531569" r:id="rId10"/>
        </w:pict>
      </w:r>
    </w:p>
    <w:p w:rsidR="00B97272" w:rsidRPr="00C77803" w:rsidRDefault="00B97272" w:rsidP="00B97272">
      <w:pPr>
        <w:pStyle w:val="ac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Cs w:val="28"/>
        </w:rPr>
      </w:pPr>
      <w:r w:rsidRPr="00C77803">
        <w:rPr>
          <w:rFonts w:ascii="Times New Roman" w:hAnsi="Times New Roman"/>
          <w:b/>
          <w:szCs w:val="28"/>
        </w:rPr>
        <w:t>ЛИСИЧАНСЬКА МІСЬКА РАДА</w:t>
      </w:r>
    </w:p>
    <w:p w:rsidR="00B97272" w:rsidRPr="00C77803" w:rsidRDefault="00B97272" w:rsidP="00B97272">
      <w:pPr>
        <w:pStyle w:val="ac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Cs w:val="28"/>
        </w:rPr>
      </w:pPr>
      <w:r w:rsidRPr="00C77803">
        <w:rPr>
          <w:rFonts w:ascii="Times New Roman" w:hAnsi="Times New Roman"/>
          <w:b/>
          <w:szCs w:val="28"/>
        </w:rPr>
        <w:t>СЬОМОГО СКЛИКАННЯ</w:t>
      </w:r>
    </w:p>
    <w:p w:rsidR="00B97272" w:rsidRDefault="00B97272" w:rsidP="00B97272">
      <w:pPr>
        <w:jc w:val="center"/>
        <w:rPr>
          <w:b/>
          <w:snapToGrid w:val="0"/>
          <w:szCs w:val="28"/>
          <w:lang w:val="uk-UA"/>
        </w:rPr>
      </w:pPr>
      <w:r w:rsidRPr="00C77803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п’ятдесят сьома сесія </w:t>
      </w:r>
    </w:p>
    <w:p w:rsidR="00B97272" w:rsidRDefault="00B97272" w:rsidP="00B97272">
      <w:pPr>
        <w:jc w:val="center"/>
        <w:rPr>
          <w:b/>
          <w:snapToGrid w:val="0"/>
          <w:szCs w:val="28"/>
          <w:lang w:val="uk-UA"/>
        </w:rPr>
      </w:pPr>
      <w:r w:rsidRPr="00C77803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РІШЕННЯ</w:t>
      </w:r>
    </w:p>
    <w:p w:rsidR="00B97272" w:rsidRPr="00006D93" w:rsidRDefault="00B97272" w:rsidP="00B97272">
      <w:pPr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31.01.2019 </w:t>
      </w:r>
      <w:r w:rsidRPr="00006D93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</w:t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</w:t>
      </w:r>
      <w:r w:rsidR="00ED31E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>м. Лисичанськ</w:t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 xml:space="preserve">       </w:t>
      </w:r>
      <w:r w:rsidRPr="00006D93">
        <w:rPr>
          <w:rFonts w:ascii="Times New Roman" w:hAnsi="Times New Roman" w:cs="Times New Roman"/>
          <w:snapToGrid w:val="0"/>
          <w:sz w:val="28"/>
          <w:szCs w:val="28"/>
        </w:rPr>
        <w:t xml:space="preserve">  № </w:t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>57/8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9</w:t>
      </w:r>
      <w:r w:rsidR="00ED31E1">
        <w:rPr>
          <w:rFonts w:ascii="Times New Roman" w:hAnsi="Times New Roman" w:cs="Times New Roman"/>
          <w:snapToGrid w:val="0"/>
          <w:sz w:val="28"/>
          <w:szCs w:val="28"/>
          <w:lang w:val="uk-UA"/>
        </w:rPr>
        <w:t>5</w:t>
      </w:r>
    </w:p>
    <w:p w:rsidR="004577D3" w:rsidRPr="00ED31E1" w:rsidRDefault="004577D3" w:rsidP="00ED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C37B6B" w:rsidRPr="00ED31E1" w:rsidRDefault="004577D3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Про внесення змін </w:t>
      </w:r>
      <w:r w:rsidR="00C37B6B" w:rsidRPr="00ED31E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та доповнень </w:t>
      </w:r>
      <w:r w:rsidRPr="00ED31E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до «Положення </w:t>
      </w:r>
    </w:p>
    <w:p w:rsidR="004577D3" w:rsidRPr="00ED31E1" w:rsidRDefault="00C37B6B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</w:t>
      </w:r>
      <w:r w:rsidR="004577D3" w:rsidRPr="00ED31E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</w:t>
      </w:r>
      <w:r w:rsidRPr="00ED31E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</w:t>
      </w:r>
      <w:r w:rsidR="004577D3" w:rsidRPr="00ED31E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порядок залучення, розрахунку розміру </w:t>
      </w:r>
    </w:p>
    <w:p w:rsidR="004577D3" w:rsidRPr="00ED31E1" w:rsidRDefault="004577D3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і використання коштів пайової участі</w:t>
      </w:r>
    </w:p>
    <w:p w:rsidR="004577D3" w:rsidRPr="00ED31E1" w:rsidRDefault="004577D3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у розвитку інженерно-транспортної та</w:t>
      </w:r>
    </w:p>
    <w:p w:rsidR="004577D3" w:rsidRPr="00ED31E1" w:rsidRDefault="004577D3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соціальної інфраструктури міста Лисичанська»</w:t>
      </w:r>
    </w:p>
    <w:p w:rsidR="004577D3" w:rsidRDefault="004577D3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ED31E1" w:rsidRPr="00ED31E1" w:rsidRDefault="00ED31E1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4577D3" w:rsidRPr="00ED31E1" w:rsidRDefault="004577D3" w:rsidP="00457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із оптимізацією виконавчих органів  Лисичанської міської ради, та передачею функцій та повноважень управління архітектури та містобудування до Управління буд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вництва та архітектури, відповідно до рішення 54 сесії Лисичанської міської ради 7 склика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від 29.11.2018 № 54/825, </w:t>
      </w:r>
      <w:r w:rsidR="00FA50E6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 w:rsidR="00F562F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пп.14) п.2 р. ІІ </w:t>
      </w:r>
      <w:r w:rsidR="00FA50E6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внесення змін до Податкового кодексу України та деяких інших законодавчих актів України щодо покращення адмін</w:t>
      </w:r>
      <w:r w:rsidR="00FA50E6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A50E6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стрування та перегляду ставок окремих податків і зборів» від 23.11.2018 № 2628-VIII, 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</w:t>
      </w:r>
      <w:r w:rsidR="009B7D95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 Закону України «Про місцеве самоврядування в Україні»,</w:t>
      </w:r>
      <w:r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міська рада  </w:t>
      </w:r>
    </w:p>
    <w:p w:rsidR="004577D3" w:rsidRPr="00796E07" w:rsidRDefault="004577D3" w:rsidP="00457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577D3" w:rsidRPr="00ED31E1" w:rsidRDefault="004577D3" w:rsidP="00457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ВИРІШИЛА:</w:t>
      </w:r>
    </w:p>
    <w:p w:rsidR="004577D3" w:rsidRPr="00ED31E1" w:rsidRDefault="004577D3" w:rsidP="00457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4577D3" w:rsidRPr="00ED31E1" w:rsidRDefault="004577D3" w:rsidP="00897A38">
      <w:pPr>
        <w:numPr>
          <w:ilvl w:val="0"/>
          <w:numId w:val="5"/>
        </w:numPr>
        <w:tabs>
          <w:tab w:val="center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доповнення 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Положення про порядок </w:t>
      </w:r>
      <w:r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залучення, розрахунку ро</w:t>
      </w:r>
      <w:r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міру і використання коштів пайової участі у розвитку інженерно-транспортної та соціальної інфраструктури міста Лисичанська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рішенням Лисичанської міської ради від 27.12.2012 р. №41/732:   </w:t>
      </w:r>
    </w:p>
    <w:p w:rsidR="00F562FB" w:rsidRPr="00ED31E1" w:rsidRDefault="00F562FB" w:rsidP="00897A38">
      <w:pPr>
        <w:pStyle w:val="ab"/>
        <w:numPr>
          <w:ilvl w:val="1"/>
          <w:numId w:val="6"/>
        </w:num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Підпункт 1.6. пункту 1. </w:t>
      </w:r>
      <w:r w:rsidR="00C37B6B"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оповнити абзацами:</w:t>
      </w:r>
    </w:p>
    <w:p w:rsidR="00F562FB" w:rsidRPr="00ED31E1" w:rsidRDefault="00F562FB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 - об’єктів, які згідно з державним класифікатором будівель та споруд належать до будівель сільськогосподарського призначення; </w:t>
      </w:r>
    </w:p>
    <w:p w:rsidR="00F562FB" w:rsidRPr="00ED31E1" w:rsidRDefault="00897A38" w:rsidP="00897A38">
      <w:pPr>
        <w:pStyle w:val="ab"/>
        <w:tabs>
          <w:tab w:val="bar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F562FB"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об’єктів, які згідно з державним класифікатором будівель та споруд належать до будівель і споруд підприємств харчової промисловості;</w:t>
      </w:r>
    </w:p>
    <w:p w:rsidR="00F562FB" w:rsidRPr="00ED31E1" w:rsidRDefault="00F562FB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об’єктів, які згідно з державним класифікатором будівель та споруд належать до </w:t>
      </w:r>
      <w:proofErr w:type="spellStart"/>
      <w:r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силосів</w:t>
      </w:r>
      <w:proofErr w:type="spellEnd"/>
      <w:r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зерна та складських майданчиків (для зберігання сільськогосподарської продукції)»</w:t>
      </w:r>
      <w:r w:rsidR="00A046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577D3" w:rsidRPr="00ED31E1" w:rsidRDefault="00F562FB" w:rsidP="00897A38">
      <w:pPr>
        <w:tabs>
          <w:tab w:val="center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="004577D3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Підпункт 2.5. пункту 2. викласти у наступній редакції: </w:t>
      </w:r>
    </w:p>
    <w:p w:rsidR="004577D3" w:rsidRDefault="004577D3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«2.5. Розрахунок розміру пайової участі здійснюється Управлінням будівництва та архіте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 Лиси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чанської міської ради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ED31E1" w:rsidRDefault="00ED31E1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1E1" w:rsidRPr="00ED31E1" w:rsidRDefault="00ED31E1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77D3" w:rsidRPr="00ED31E1" w:rsidRDefault="004577D3" w:rsidP="00897A38">
      <w:pPr>
        <w:tabs>
          <w:tab w:val="center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1.</w:t>
      </w:r>
      <w:r w:rsidR="00F562F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Підпункт 3.1. пункту 3. викласти у наступній редакції:</w:t>
      </w:r>
    </w:p>
    <w:p w:rsidR="004577D3" w:rsidRPr="00ED31E1" w:rsidRDefault="004577D3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«3.1. Офіційним повідомленням замовника будівництва про настання у нього зобов’язання фінансового характеру в частині сплати відповідного розміру пайової участі у розвиток інфраструктури міста є обумовлення (зобов’язання) у наказі Управління будівництва та архіт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ктури про пайову участь у розвитку інфраструктури міста, що перебуває у володінні ч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к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ристуванні такого замовника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77D3" w:rsidRPr="00ED31E1" w:rsidRDefault="004577D3" w:rsidP="00897A38">
      <w:pPr>
        <w:pStyle w:val="ab"/>
        <w:numPr>
          <w:ilvl w:val="1"/>
          <w:numId w:val="5"/>
        </w:numPr>
        <w:tabs>
          <w:tab w:val="center" w:pos="85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Підпункт 3.2. пункту 3. викласти у наступній редакції:</w:t>
      </w:r>
    </w:p>
    <w:p w:rsidR="004577D3" w:rsidRPr="00ED31E1" w:rsidRDefault="004577D3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«3.2. Договір укладається до реєстрації декларації про початок виконання будівельних робіт або отримання дозволу на виконання будівельних робіт в інспекції Державного архітекту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но-будівельного контролю у Луганській області, про що зазначається у наказі Управління будівництва та архітектури про пайову участь 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розвитку інфраструктури міста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77D3" w:rsidRPr="00ED31E1" w:rsidRDefault="004577D3" w:rsidP="00897A38">
      <w:pPr>
        <w:pStyle w:val="ab"/>
        <w:numPr>
          <w:ilvl w:val="1"/>
          <w:numId w:val="9"/>
        </w:numPr>
        <w:tabs>
          <w:tab w:val="center" w:pos="85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Підпункт 3.3. пункту 3. викласти у наступній редакції:</w:t>
      </w:r>
    </w:p>
    <w:p w:rsidR="004577D3" w:rsidRPr="00ED31E1" w:rsidRDefault="004577D3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«3.3. Визначення відсотку пайової участі замовника на розвиток інженерно-транспортної та соціальної інфраструктури міста покладається на Управління будівництва та архітектури»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77D3" w:rsidRPr="00ED31E1" w:rsidRDefault="004577D3" w:rsidP="00897A38">
      <w:pPr>
        <w:pStyle w:val="ab"/>
        <w:numPr>
          <w:ilvl w:val="1"/>
          <w:numId w:val="9"/>
        </w:numPr>
        <w:tabs>
          <w:tab w:val="center" w:pos="85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абзац підпункту 3.4. пункту 3. викласти у наступній редакції:</w:t>
      </w:r>
    </w:p>
    <w:p w:rsidR="004577D3" w:rsidRPr="00ED31E1" w:rsidRDefault="004577D3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«Замовник або уповноважена ним особа звертається до Управління будівництва та архіте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 Лисичанської міської ради зі зверненням (заявою) про виконання розрахунку розміру пайової участі (додаток 3 до Положення) та укладення Договору (дод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аток 2 до рішення міс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ради)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77D3" w:rsidRPr="00ED31E1" w:rsidRDefault="004577D3" w:rsidP="00897A38">
      <w:pPr>
        <w:numPr>
          <w:ilvl w:val="1"/>
          <w:numId w:val="9"/>
        </w:numPr>
        <w:tabs>
          <w:tab w:val="center" w:pos="851"/>
          <w:tab w:val="decimal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Четвертий абзац підпункту 3.4. пункту 3. викласти у наступній редакції:</w:t>
      </w:r>
    </w:p>
    <w:p w:rsidR="004577D3" w:rsidRPr="00ED31E1" w:rsidRDefault="004577D3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«-</w:t>
      </w:r>
      <w:r w:rsid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копію наказу Управління будівництва та архітектури про пайову участь у розвитку інфр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04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структури міста</w:t>
      </w:r>
      <w:bookmarkStart w:id="0" w:name="_GoBack"/>
      <w:bookmarkEnd w:id="0"/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77D3" w:rsidRPr="00ED31E1" w:rsidRDefault="004577D3" w:rsidP="00897A38">
      <w:pPr>
        <w:numPr>
          <w:ilvl w:val="1"/>
          <w:numId w:val="9"/>
        </w:numPr>
        <w:tabs>
          <w:tab w:val="center" w:pos="851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Підпункт 3.5. пункту 3. викласти у наступній редакції:</w:t>
      </w:r>
    </w:p>
    <w:p w:rsidR="00C37B6B" w:rsidRPr="00ED31E1" w:rsidRDefault="004577D3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«3.5. Управління будівництва та архітектури міської ради реєструє заяву та не пізніше ніж через десять робочих днів з дня її реєстрації проводить розрахунок розміру пайової 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участі (додаток 2 до Положення)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37B6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77D3" w:rsidRPr="00ED31E1" w:rsidRDefault="004577D3" w:rsidP="00897A38">
      <w:pPr>
        <w:numPr>
          <w:ilvl w:val="1"/>
          <w:numId w:val="9"/>
        </w:numPr>
        <w:tabs>
          <w:tab w:val="center" w:pos="851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Підпункт 6.4. пункту 6. викласти у наступній редакції:</w:t>
      </w:r>
    </w:p>
    <w:p w:rsidR="004577D3" w:rsidRPr="00ED31E1" w:rsidRDefault="004577D3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«6.4. Управління будівництва та архітектури Лисичанської міської ради що півроку надає інформацію до </w:t>
      </w:r>
      <w:r w:rsidR="003B76F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юридичної та кадрової роботи Лисичанської міської ради 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стосовно замовників, які отримали декларацію про початок виконання будівельних робіт або дозвіл на виконання будівельних робіт з метою здійснення контролю  за замовниками що не уклали Договір про пайову участь замовника будівництва у створенні і розвитку інженерно-транспортної та соціальної </w:t>
      </w:r>
      <w:r w:rsidR="003B76F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 міста Лисичанськ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3B76FB" w:rsidRPr="00ED31E1" w:rsidRDefault="00796E07" w:rsidP="00796E07">
      <w:pPr>
        <w:pStyle w:val="ab"/>
        <w:numPr>
          <w:ilvl w:val="1"/>
          <w:numId w:val="9"/>
        </w:numPr>
        <w:tabs>
          <w:tab w:val="center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тексті Положення слова «юридичний відділ» замінити словами «відділ юр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дичної та кадрової роботи Лисичанської міської ради» у всіх відмінках.</w:t>
      </w:r>
    </w:p>
    <w:p w:rsidR="003B76FB" w:rsidRPr="00ED31E1" w:rsidRDefault="0035346E" w:rsidP="00897A38">
      <w:pPr>
        <w:pStyle w:val="ab"/>
        <w:numPr>
          <w:ilvl w:val="0"/>
          <w:numId w:val="12"/>
        </w:numPr>
        <w:tabs>
          <w:tab w:val="center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ТИПОВОГО ДОГОВОРУ </w:t>
      </w:r>
      <w:r w:rsidR="00897A38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пайову участь замов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ника будівництва у створенні  і розвитку інженерно-транспортної та соціальної інфраструктури міста Лисича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ська затвердженого рішенням Лисичанської міської ради  від 27.12.2012 № 41/732 зі змінами від 24.12.2015 № 4/42:</w:t>
      </w:r>
    </w:p>
    <w:p w:rsidR="004577D3" w:rsidRPr="00ED31E1" w:rsidRDefault="004577D3" w:rsidP="00897A38">
      <w:pPr>
        <w:pStyle w:val="ab"/>
        <w:numPr>
          <w:ilvl w:val="1"/>
          <w:numId w:val="12"/>
        </w:numPr>
        <w:tabs>
          <w:tab w:val="decimal" w:pos="0"/>
          <w:tab w:val="center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Підпункт 3.1.2 п. 3.1 розділу 3. 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у наступній редакції:</w:t>
      </w:r>
    </w:p>
    <w:p w:rsidR="00897A38" w:rsidRPr="00ED31E1" w:rsidRDefault="004577D3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«3.1.2. У разі внесення змін до проектної документації, які спричиняють зміни техніко-економічних показників будівництва, Замовник зобов’язаний звернутися з заявою до Упра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ління будівництва та архітектури Лисичанської міської ради про перерахунок суми пайово</w:t>
      </w:r>
      <w:r w:rsidR="003B76FB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участі та внесення змін до да</w:t>
      </w:r>
      <w:r w:rsidR="00897A38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Договору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97A38"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97A38" w:rsidRPr="00ED31E1" w:rsidRDefault="00897A38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77D3" w:rsidRPr="00ED31E1" w:rsidRDefault="004577D3" w:rsidP="00897A38">
      <w:pPr>
        <w:pStyle w:val="ab"/>
        <w:numPr>
          <w:ilvl w:val="0"/>
          <w:numId w:val="12"/>
        </w:numPr>
        <w:tabs>
          <w:tab w:val="center" w:pos="851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Дане рішення підлягає оприлюдненню</w:t>
      </w: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77D3" w:rsidRPr="00ED31E1" w:rsidRDefault="004577D3" w:rsidP="00897A38">
      <w:pPr>
        <w:shd w:val="clear" w:color="auto" w:fill="FFFFFF"/>
        <w:tabs>
          <w:tab w:val="center" w:pos="851"/>
        </w:tabs>
        <w:spacing w:after="0" w:line="240" w:lineRule="auto"/>
        <w:ind w:left="142" w:firstLine="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77D3" w:rsidRPr="00ED31E1" w:rsidRDefault="004577D3" w:rsidP="00897A38">
      <w:pPr>
        <w:pStyle w:val="ab"/>
        <w:numPr>
          <w:ilvl w:val="0"/>
          <w:numId w:val="12"/>
        </w:numPr>
        <w:shd w:val="clear" w:color="auto" w:fill="FFFFFF"/>
        <w:tabs>
          <w:tab w:val="center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ED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заступника міського голови Якимчука А.П. та постійну комісію з питань розвитку міста в галузі житлово-комунального господарства, власності та земельних відносин</w:t>
      </w:r>
      <w:r w:rsidRPr="00ED31E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.</w:t>
      </w: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97272" w:rsidRDefault="00B97272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ED31E1" w:rsidRDefault="00ED31E1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97272" w:rsidRDefault="00B97272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7"/>
        <w:gridCol w:w="2387"/>
        <w:gridCol w:w="2797"/>
      </w:tblGrid>
      <w:tr w:rsidR="00B97272" w:rsidRPr="00F459C7" w:rsidTr="004646F5">
        <w:tc>
          <w:tcPr>
            <w:tcW w:w="4387" w:type="dxa"/>
            <w:hideMark/>
          </w:tcPr>
          <w:p w:rsidR="00B97272" w:rsidRPr="00F459C7" w:rsidRDefault="00B97272" w:rsidP="004646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5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387" w:type="dxa"/>
          </w:tcPr>
          <w:p w:rsidR="00B97272" w:rsidRPr="00F459C7" w:rsidRDefault="00B97272" w:rsidP="004646F5">
            <w:pPr>
              <w:pStyle w:val="ac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797" w:type="dxa"/>
            <w:hideMark/>
          </w:tcPr>
          <w:p w:rsidR="00B97272" w:rsidRPr="00F459C7" w:rsidRDefault="00B97272" w:rsidP="00B97272">
            <w:pPr>
              <w:pStyle w:val="ac"/>
              <w:jc w:val="right"/>
              <w:rPr>
                <w:rFonts w:ascii="Times New Roman" w:hAnsi="Times New Roman"/>
                <w:b/>
                <w:szCs w:val="28"/>
              </w:rPr>
            </w:pPr>
            <w:r w:rsidRPr="00F459C7">
              <w:rPr>
                <w:rFonts w:ascii="Times New Roman" w:hAnsi="Times New Roman"/>
                <w:b/>
                <w:szCs w:val="28"/>
              </w:rPr>
              <w:t>Е.ЩЕГЛАКОВ</w:t>
            </w:r>
          </w:p>
        </w:tc>
      </w:tr>
    </w:tbl>
    <w:p w:rsidR="00B97272" w:rsidRDefault="00B97272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97A38" w:rsidRDefault="00897A38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97A38" w:rsidRDefault="00897A38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97A38" w:rsidRDefault="00897A38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97A38" w:rsidRDefault="00897A38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97A38" w:rsidRDefault="00897A38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97A38" w:rsidRDefault="00897A38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4722B" w:rsidRDefault="00C4722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sectPr w:rsidR="00C4722B" w:rsidSect="009B7D95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B0" w:rsidRDefault="00677AB0" w:rsidP="004F501B">
      <w:pPr>
        <w:spacing w:after="0" w:line="240" w:lineRule="auto"/>
      </w:pPr>
      <w:r>
        <w:separator/>
      </w:r>
    </w:p>
  </w:endnote>
  <w:endnote w:type="continuationSeparator" w:id="0">
    <w:p w:rsidR="00677AB0" w:rsidRDefault="00677AB0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B0" w:rsidRDefault="00677AB0" w:rsidP="004F501B">
      <w:pPr>
        <w:spacing w:after="0" w:line="240" w:lineRule="auto"/>
      </w:pPr>
      <w:r>
        <w:separator/>
      </w:r>
    </w:p>
  </w:footnote>
  <w:footnote w:type="continuationSeparator" w:id="0">
    <w:p w:rsidR="00677AB0" w:rsidRDefault="00677AB0" w:rsidP="004F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1B" w:rsidRPr="004F501B" w:rsidRDefault="004F501B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2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53D3B"/>
    <w:rsid w:val="00072FBA"/>
    <w:rsid w:val="000B7325"/>
    <w:rsid w:val="000C378F"/>
    <w:rsid w:val="000E11DA"/>
    <w:rsid w:val="000F6FB2"/>
    <w:rsid w:val="0011414B"/>
    <w:rsid w:val="00194319"/>
    <w:rsid w:val="001D6BEF"/>
    <w:rsid w:val="00251F05"/>
    <w:rsid w:val="00290D74"/>
    <w:rsid w:val="002A623B"/>
    <w:rsid w:val="002B4952"/>
    <w:rsid w:val="00327CEC"/>
    <w:rsid w:val="0035346E"/>
    <w:rsid w:val="003841D5"/>
    <w:rsid w:val="003B3AAA"/>
    <w:rsid w:val="003B3AEE"/>
    <w:rsid w:val="003B76FB"/>
    <w:rsid w:val="003B7A37"/>
    <w:rsid w:val="003D4AB1"/>
    <w:rsid w:val="003F357D"/>
    <w:rsid w:val="00437046"/>
    <w:rsid w:val="004577D3"/>
    <w:rsid w:val="00457B90"/>
    <w:rsid w:val="004832AB"/>
    <w:rsid w:val="004A5490"/>
    <w:rsid w:val="004C4792"/>
    <w:rsid w:val="004F501B"/>
    <w:rsid w:val="00513799"/>
    <w:rsid w:val="0051493D"/>
    <w:rsid w:val="005612E9"/>
    <w:rsid w:val="0059216E"/>
    <w:rsid w:val="005973B6"/>
    <w:rsid w:val="005C729F"/>
    <w:rsid w:val="005F7F11"/>
    <w:rsid w:val="00637F1B"/>
    <w:rsid w:val="00643E00"/>
    <w:rsid w:val="00677AB0"/>
    <w:rsid w:val="00690FD1"/>
    <w:rsid w:val="006E0CE8"/>
    <w:rsid w:val="00707E98"/>
    <w:rsid w:val="00730C40"/>
    <w:rsid w:val="00736523"/>
    <w:rsid w:val="00740E7C"/>
    <w:rsid w:val="0076498F"/>
    <w:rsid w:val="00773284"/>
    <w:rsid w:val="00796E07"/>
    <w:rsid w:val="007A0927"/>
    <w:rsid w:val="007E2072"/>
    <w:rsid w:val="007F2ED6"/>
    <w:rsid w:val="008274EC"/>
    <w:rsid w:val="00896B64"/>
    <w:rsid w:val="00897A38"/>
    <w:rsid w:val="008F1193"/>
    <w:rsid w:val="009A008C"/>
    <w:rsid w:val="009A5FC4"/>
    <w:rsid w:val="009B7D95"/>
    <w:rsid w:val="009D04B4"/>
    <w:rsid w:val="009E1F0B"/>
    <w:rsid w:val="009E789E"/>
    <w:rsid w:val="00A04637"/>
    <w:rsid w:val="00A171E3"/>
    <w:rsid w:val="00A40B95"/>
    <w:rsid w:val="00A456FB"/>
    <w:rsid w:val="00A67671"/>
    <w:rsid w:val="00A86E24"/>
    <w:rsid w:val="00A876AF"/>
    <w:rsid w:val="00A936F6"/>
    <w:rsid w:val="00A9500A"/>
    <w:rsid w:val="00B348E4"/>
    <w:rsid w:val="00B8011A"/>
    <w:rsid w:val="00B97272"/>
    <w:rsid w:val="00BA0763"/>
    <w:rsid w:val="00BC196D"/>
    <w:rsid w:val="00C37B6B"/>
    <w:rsid w:val="00C4722B"/>
    <w:rsid w:val="00C7385B"/>
    <w:rsid w:val="00C970F3"/>
    <w:rsid w:val="00CA136F"/>
    <w:rsid w:val="00CC1050"/>
    <w:rsid w:val="00D21EA4"/>
    <w:rsid w:val="00DC3820"/>
    <w:rsid w:val="00DE48BE"/>
    <w:rsid w:val="00E514DC"/>
    <w:rsid w:val="00EB61BA"/>
    <w:rsid w:val="00ED31E1"/>
    <w:rsid w:val="00F41AA8"/>
    <w:rsid w:val="00F562FB"/>
    <w:rsid w:val="00F56842"/>
    <w:rsid w:val="00F67202"/>
    <w:rsid w:val="00F731E1"/>
    <w:rsid w:val="00F820BC"/>
    <w:rsid w:val="00FA2A39"/>
    <w:rsid w:val="00FA3DFB"/>
    <w:rsid w:val="00FA50E6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B97272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97272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B97272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97272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1A00-93DE-4C13-BC17-A3AFB08F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8</cp:revision>
  <cp:lastPrinted>2019-02-01T11:02:00Z</cp:lastPrinted>
  <dcterms:created xsi:type="dcterms:W3CDTF">2019-01-17T06:19:00Z</dcterms:created>
  <dcterms:modified xsi:type="dcterms:W3CDTF">2019-02-01T11:06:00Z</dcterms:modified>
</cp:coreProperties>
</file>