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93" w:rsidRDefault="00006D93" w:rsidP="00006D93">
      <w:pPr>
        <w:pStyle w:val="a6"/>
        <w:tabs>
          <w:tab w:val="left" w:pos="6950"/>
          <w:tab w:val="left" w:pos="7455"/>
        </w:tabs>
        <w:jc w:val="right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55pt;margin-top:-47.7pt;width:51.55pt;height:63.7pt;z-index:251658240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7" DrawAspect="Content" ObjectID="_1610521906" r:id="rId8"/>
        </w:pict>
      </w:r>
    </w:p>
    <w:p w:rsidR="00006D93" w:rsidRDefault="00006D93" w:rsidP="00006D93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006D93" w:rsidRDefault="00006D93" w:rsidP="00006D93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006D93" w:rsidRPr="00006D93" w:rsidRDefault="00006D93" w:rsidP="00006D93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006D9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п’ятдесят сьома сесія </w:t>
      </w:r>
    </w:p>
    <w:p w:rsidR="00006D93" w:rsidRPr="00006D93" w:rsidRDefault="00006D93" w:rsidP="00006D93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006D9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006D93" w:rsidRPr="00006D93" w:rsidRDefault="00006D93" w:rsidP="00006D93">
      <w:pPr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31.01.2019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м. Лисичанськ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 xml:space="preserve">  № </w:t>
      </w:r>
      <w:r w:rsidRPr="00006D93">
        <w:rPr>
          <w:rFonts w:ascii="Times New Roman" w:hAnsi="Times New Roman" w:cs="Times New Roman"/>
          <w:snapToGrid w:val="0"/>
          <w:sz w:val="28"/>
          <w:szCs w:val="28"/>
          <w:lang w:val="uk-UA"/>
        </w:rPr>
        <w:t>57/8</w:t>
      </w:r>
      <w:r w:rsidRPr="00006D93">
        <w:rPr>
          <w:rFonts w:ascii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8</w:t>
      </w:r>
    </w:p>
    <w:p w:rsidR="006622B1" w:rsidRPr="00437E0D" w:rsidRDefault="006622B1" w:rsidP="006622B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622B1" w:rsidRPr="00437E0D" w:rsidRDefault="006622B1" w:rsidP="003576A2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здійснення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виконавчими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органами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2018</w:t>
      </w:r>
      <w:r w:rsid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році</w:t>
      </w:r>
    </w:p>
    <w:p w:rsidR="006622B1" w:rsidRPr="00437E0D" w:rsidRDefault="006622B1" w:rsidP="006622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622B1" w:rsidRPr="00437E0D" w:rsidRDefault="006622B1" w:rsidP="008914C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виконання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вимог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частини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першої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статті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38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засади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діяльності»,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п.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ч.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ст.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місцеве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самоврядування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Україні»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міська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рада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8914C9" w:rsidRPr="00437E0D" w:rsidRDefault="008914C9" w:rsidP="008914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14C9" w:rsidRPr="00437E0D" w:rsidRDefault="006622B1" w:rsidP="008914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B21295" w:rsidRPr="00437E0D" w:rsidRDefault="006622B1" w:rsidP="0042011C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Взяти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відома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Звіт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здійснення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виконавчими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органами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2018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році</w:t>
      </w:r>
      <w:r w:rsid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(додаток).</w:t>
      </w:r>
    </w:p>
    <w:p w:rsidR="008914C9" w:rsidRPr="0042011C" w:rsidRDefault="008914C9" w:rsidP="0042011C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розробникам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проведенні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діяльності:</w:t>
      </w:r>
    </w:p>
    <w:p w:rsidR="008914C9" w:rsidRPr="0042011C" w:rsidRDefault="008914C9" w:rsidP="0042011C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інформувати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економіки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розробку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доповнень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році;</w:t>
      </w:r>
    </w:p>
    <w:p w:rsidR="008914C9" w:rsidRPr="0042011C" w:rsidRDefault="008914C9" w:rsidP="0042011C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оприлюднювати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звіти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відстеження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результативності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ради.</w:t>
      </w:r>
    </w:p>
    <w:p w:rsidR="006622B1" w:rsidRPr="0042011C" w:rsidRDefault="006622B1" w:rsidP="0042011C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</w:t>
      </w:r>
      <w:r w:rsidR="00437E0D" w:rsidRPr="0042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</w:t>
      </w:r>
      <w:r w:rsidR="00437E0D"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437E0D"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  <w:r w:rsidR="00437E0D" w:rsidRPr="00420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регіональній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громадсько-політичній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газеті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proofErr w:type="spellStart"/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Новый</w:t>
      </w:r>
      <w:proofErr w:type="spellEnd"/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путь»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офіційному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сайті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Лисичанської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</w:t>
      </w:r>
      <w:r w:rsidR="00437E0D"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ради.</w:t>
      </w:r>
    </w:p>
    <w:p w:rsidR="0042011C" w:rsidRPr="00F459C7" w:rsidRDefault="0042011C" w:rsidP="0042011C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цього рішення покласти на першого заступни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Шальнєва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А.Л</w:t>
      </w:r>
      <w:r w:rsidRPr="004201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459C7" w:rsidRPr="00F459C7" w:rsidRDefault="00F459C7" w:rsidP="00F4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8914C9" w:rsidRDefault="008914C9" w:rsidP="0042011C">
      <w:pPr>
        <w:tabs>
          <w:tab w:val="left" w:pos="737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F459C7" w:rsidRDefault="00F459C7" w:rsidP="0042011C">
      <w:pPr>
        <w:tabs>
          <w:tab w:val="left" w:pos="737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F459C7" w:rsidRPr="00F459C7" w:rsidRDefault="00F459C7" w:rsidP="0042011C">
      <w:pPr>
        <w:tabs>
          <w:tab w:val="left" w:pos="737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F459C7" w:rsidRPr="00F459C7" w:rsidTr="00F459C7">
        <w:tc>
          <w:tcPr>
            <w:tcW w:w="4387" w:type="dxa"/>
            <w:hideMark/>
          </w:tcPr>
          <w:p w:rsidR="00F459C7" w:rsidRPr="00F459C7" w:rsidRDefault="00F459C7" w:rsidP="004646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F459C7" w:rsidRPr="00F459C7" w:rsidRDefault="00F459C7" w:rsidP="004646F5">
            <w:pPr>
              <w:pStyle w:val="a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hideMark/>
          </w:tcPr>
          <w:p w:rsidR="00F459C7" w:rsidRPr="00F459C7" w:rsidRDefault="00F459C7" w:rsidP="004646F5">
            <w:pPr>
              <w:pStyle w:val="a6"/>
              <w:jc w:val="left"/>
              <w:rPr>
                <w:b/>
                <w:sz w:val="28"/>
                <w:szCs w:val="28"/>
              </w:rPr>
            </w:pPr>
            <w:r w:rsidRPr="00F459C7">
              <w:rPr>
                <w:b/>
                <w:sz w:val="28"/>
                <w:szCs w:val="28"/>
              </w:rPr>
              <w:t>Е.ЩЕГЛАКОВ</w:t>
            </w:r>
          </w:p>
        </w:tc>
      </w:tr>
    </w:tbl>
    <w:p w:rsidR="0042011C" w:rsidRDefault="0042011C" w:rsidP="0042011C">
      <w:pPr>
        <w:tabs>
          <w:tab w:val="left" w:pos="737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42011C" w:rsidRPr="00437E0D" w:rsidRDefault="0042011C" w:rsidP="0042011C">
      <w:pPr>
        <w:tabs>
          <w:tab w:val="left" w:pos="737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6622B1" w:rsidRPr="00437E0D" w:rsidRDefault="006622B1" w:rsidP="00F459C7">
      <w:pPr>
        <w:pageBreakBefore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:rsidR="006622B1" w:rsidRPr="00437E0D" w:rsidRDefault="006622B1" w:rsidP="00F459C7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:rsidR="006622B1" w:rsidRPr="00437E0D" w:rsidRDefault="006622B1" w:rsidP="00F459C7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F459C7" w:rsidRPr="00F4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F45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.01.2019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459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57/888</w:t>
      </w:r>
    </w:p>
    <w:p w:rsidR="006622B1" w:rsidRPr="00437E0D" w:rsidRDefault="006622B1" w:rsidP="00662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22B1" w:rsidRPr="00437E0D" w:rsidRDefault="006622B1" w:rsidP="0043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Звіт</w:t>
      </w:r>
    </w:p>
    <w:p w:rsidR="006622B1" w:rsidRPr="00437E0D" w:rsidRDefault="006622B1" w:rsidP="0043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здійснення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виконавчими</w:t>
      </w:r>
    </w:p>
    <w:p w:rsidR="006622B1" w:rsidRPr="00437E0D" w:rsidRDefault="006622B1" w:rsidP="0043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органами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Лисичанської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2018</w:t>
      </w:r>
      <w:r w:rsid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році</w:t>
      </w:r>
    </w:p>
    <w:p w:rsidR="00FE2620" w:rsidRPr="00437E0D" w:rsidRDefault="00FE2620" w:rsidP="0043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6A6E" w:rsidRPr="00437E0D" w:rsidRDefault="008B6A6E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послідовний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оптимального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сферах,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втручання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усунення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правових,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перешкод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відкриває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підходи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оптимізації,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послідовності,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передбачуваності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господарювання.</w:t>
      </w:r>
    </w:p>
    <w:p w:rsidR="008B6A6E" w:rsidRPr="00437E0D" w:rsidRDefault="008B6A6E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здійснювалась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завдань,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діяльності"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(далі-Закон),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Міністрів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у»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послідовності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прозорості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виважених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урахуванням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максимально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EA0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влади.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підходу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впровадження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проводилась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напрямках: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актів;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місті;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документів,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діяльності;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актів;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підприємництва.</w:t>
      </w:r>
    </w:p>
    <w:p w:rsidR="00941BA5" w:rsidRPr="00437E0D" w:rsidRDefault="00941BA5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пропозиціями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надруковано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газеті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Новый</w:t>
      </w:r>
      <w:proofErr w:type="spellEnd"/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путь».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вносилися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обумовлені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постійними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діяльність.</w:t>
      </w:r>
    </w:p>
    <w:p w:rsidR="00772B64" w:rsidRPr="00437E0D" w:rsidRDefault="009A5649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04.12.2018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№718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«Порядку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Лисичанську,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Привіллі».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встановлює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нерухомості,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дозволяє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уникнути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незаконного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відчуженню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нерухомості.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розроблялися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«Положення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демонтажу,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самовільно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Лисичанська»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«Порядку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зовнішньої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тимчасове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конструкцій,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місцях,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знаходяться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Лисичанська».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Після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зауважень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пропозицій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63BD0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зазначені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проекти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направлені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доопрацювання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заплановані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розгляду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2019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2B64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році.</w:t>
      </w:r>
    </w:p>
    <w:p w:rsidR="00C00251" w:rsidRPr="00437E0D" w:rsidRDefault="00C00251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прозорість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думки,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етапах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ініціатив,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особами,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об’єднаннями,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об’єднань,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діяльності.</w:t>
      </w:r>
    </w:p>
    <w:p w:rsidR="00C00251" w:rsidRPr="00437E0D" w:rsidRDefault="00C00251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доступності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регулюють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Лисичанська,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«Регуляторна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політика».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діючих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Щоквартально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регуляторні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торгівлі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туризму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адміністрації.</w:t>
      </w:r>
    </w:p>
    <w:p w:rsidR="00833C5B" w:rsidRPr="00437E0D" w:rsidRDefault="00833C5B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Важливим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етапом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після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результативності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результативності,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проводяться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вимог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чинного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законодавства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оцінку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ним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цілей,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задекларованих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прийнятті.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вони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досягнуті,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ефективним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неефективним.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цією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кожного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здійснюються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послідовно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базове,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повторне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результативності.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звітний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3F3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звітів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саме: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базових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3F3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3,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23F3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повторних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періодичних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свідчить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те,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показали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цілей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позитивну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динаміку.</w:t>
      </w:r>
    </w:p>
    <w:p w:rsidR="00833C5B" w:rsidRPr="00437E0D" w:rsidRDefault="00833C5B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анал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улювання.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саме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відстежень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являються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перегляду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E0D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нього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або,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навіть,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скасування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дії.</w:t>
      </w:r>
    </w:p>
    <w:p w:rsidR="00833C5B" w:rsidRPr="00437E0D" w:rsidRDefault="00833C5B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впорядкування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діючих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який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нових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скасування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4E22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діючих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коригується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оновлюється.</w:t>
      </w:r>
    </w:p>
    <w:p w:rsidR="00833C5B" w:rsidRPr="00437E0D" w:rsidRDefault="00833C5B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стану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сфери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підприємництва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свідчить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те,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неможливий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без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політики.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сприятливого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підприємництва,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ініціативи,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позицій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малого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виконуються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малого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підприємництва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місті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Лисичанську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084158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084158"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роки.</w:t>
      </w:r>
    </w:p>
    <w:p w:rsidR="00833C5B" w:rsidRPr="00437E0D" w:rsidRDefault="00833C5B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Суб'єктам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господарювання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надається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консультативна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допомога,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напрацьовуються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співпраці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розробниками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регуляторних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суб'єктами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господарювання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регуляторної</w:t>
      </w:r>
      <w:r w:rsidR="00437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E0D">
        <w:rPr>
          <w:rFonts w:ascii="Times New Roman" w:eastAsia="Times New Roman" w:hAnsi="Times New Roman" w:cs="Times New Roman"/>
          <w:sz w:val="28"/>
          <w:szCs w:val="28"/>
          <w:lang w:val="uk-UA"/>
        </w:rPr>
        <w:t>політики.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Лисичанської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29.11.2018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№54/824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затвердження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 w:rsidR="00552465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2465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2465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2465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52465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2019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рік»,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затверджено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виконавчого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комітету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проектів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2019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рік,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відповідно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2019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році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планується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розробити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акти.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оприлюднено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міській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газеті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Новый</w:t>
      </w:r>
      <w:proofErr w:type="spellEnd"/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путь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офіційному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сайті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ради.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цілому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реалізація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протягом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87E"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2018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року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направлена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на: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недопущення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розпорядчих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документів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порушенням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«Про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засади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сфері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діяльності»;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активізацію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громадськості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обговоренні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проектів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системної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залученню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громадськості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обговорення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проектів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актів.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впроваджувані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заходи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спрямовані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недопущення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економічно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недоцільних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неефективних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зменшення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втручання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діяльність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суб’єктів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господарювання,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забезпечення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дотримання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процедур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актів,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тому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числі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своєчасного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обґрунтованого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аналізу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результатів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впливу.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Щодо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недоліків,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доводиться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констатувати,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активність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громадськості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впливі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діяльність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певних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залишається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низькою.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Переважна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більшість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суб’єктів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використовують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можливості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впливати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правовим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шляхом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звертаються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цього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зовсім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вчасно.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Правом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ініціювати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підготовку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проекту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брати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участь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розробці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користуються.</w:t>
      </w:r>
    </w:p>
    <w:p w:rsidR="00E63BD0" w:rsidRPr="00437E0D" w:rsidRDefault="00E63BD0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щодо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подальшого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вдосконалення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реалізації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регуляторної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політики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місті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надалі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буде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спрямована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прийняття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виважених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рішень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урахуванням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максимально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позитивних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результатів,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спрямованих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поліпшення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умов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розвитку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господарської</w:t>
      </w:r>
      <w:r w:rsid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437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діяльності.</w:t>
      </w:r>
    </w:p>
    <w:p w:rsidR="009C3172" w:rsidRPr="00437E0D" w:rsidRDefault="009C3172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C3172" w:rsidRPr="00437E0D" w:rsidRDefault="009C3172" w:rsidP="0043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C3172" w:rsidRDefault="009C3172" w:rsidP="00F4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9C7" w:rsidRDefault="00F459C7" w:rsidP="00F4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2387"/>
        <w:gridCol w:w="2797"/>
      </w:tblGrid>
      <w:tr w:rsidR="00F459C7" w:rsidRPr="00F459C7" w:rsidTr="004646F5">
        <w:tc>
          <w:tcPr>
            <w:tcW w:w="4387" w:type="dxa"/>
            <w:hideMark/>
          </w:tcPr>
          <w:p w:rsidR="00F459C7" w:rsidRPr="00F459C7" w:rsidRDefault="00F459C7" w:rsidP="004646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9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7" w:type="dxa"/>
          </w:tcPr>
          <w:p w:rsidR="00F459C7" w:rsidRPr="00F459C7" w:rsidRDefault="00F459C7" w:rsidP="004646F5">
            <w:pPr>
              <w:pStyle w:val="a6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hideMark/>
          </w:tcPr>
          <w:p w:rsidR="00F459C7" w:rsidRPr="00F459C7" w:rsidRDefault="00F459C7" w:rsidP="004646F5">
            <w:pPr>
              <w:pStyle w:val="a6"/>
              <w:jc w:val="left"/>
              <w:rPr>
                <w:b/>
                <w:sz w:val="28"/>
                <w:szCs w:val="28"/>
              </w:rPr>
            </w:pPr>
            <w:r w:rsidRPr="00F459C7">
              <w:rPr>
                <w:b/>
                <w:sz w:val="28"/>
                <w:szCs w:val="28"/>
              </w:rPr>
              <w:t>Е.ЩЕГЛАКОВ</w:t>
            </w:r>
          </w:p>
        </w:tc>
      </w:tr>
    </w:tbl>
    <w:p w:rsidR="00F459C7" w:rsidRPr="00437E0D" w:rsidRDefault="00F459C7" w:rsidP="00F4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3172" w:rsidRPr="00437E0D" w:rsidRDefault="009C3172" w:rsidP="00941BA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7E13" w:rsidRPr="00437E0D" w:rsidRDefault="00A67E1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67E13" w:rsidRPr="0043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6EB4"/>
    <w:multiLevelType w:val="hybridMultilevel"/>
    <w:tmpl w:val="389C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36E1"/>
    <w:multiLevelType w:val="multilevel"/>
    <w:tmpl w:val="2A34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B4B93"/>
    <w:multiLevelType w:val="multilevel"/>
    <w:tmpl w:val="2BB2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6252CF"/>
    <w:multiLevelType w:val="multilevel"/>
    <w:tmpl w:val="25C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D6D67"/>
    <w:multiLevelType w:val="multilevel"/>
    <w:tmpl w:val="5C1292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79061DDB"/>
    <w:multiLevelType w:val="hybridMultilevel"/>
    <w:tmpl w:val="93721D6C"/>
    <w:lvl w:ilvl="0" w:tplc="011A96F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E46D1F"/>
    <w:multiLevelType w:val="hybridMultilevel"/>
    <w:tmpl w:val="10167E78"/>
    <w:lvl w:ilvl="0" w:tplc="F49A4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80"/>
    <w:rsid w:val="00006D93"/>
    <w:rsid w:val="00013D1A"/>
    <w:rsid w:val="00072AE6"/>
    <w:rsid w:val="00084158"/>
    <w:rsid w:val="000D37B1"/>
    <w:rsid w:val="00191F80"/>
    <w:rsid w:val="001F6C51"/>
    <w:rsid w:val="003576A2"/>
    <w:rsid w:val="0042011C"/>
    <w:rsid w:val="00427153"/>
    <w:rsid w:val="00437E0D"/>
    <w:rsid w:val="005129B3"/>
    <w:rsid w:val="005226E9"/>
    <w:rsid w:val="00552465"/>
    <w:rsid w:val="005F73CB"/>
    <w:rsid w:val="006622B1"/>
    <w:rsid w:val="00684767"/>
    <w:rsid w:val="006C027E"/>
    <w:rsid w:val="006C23F3"/>
    <w:rsid w:val="007133D8"/>
    <w:rsid w:val="0073787E"/>
    <w:rsid w:val="00772B64"/>
    <w:rsid w:val="008235B5"/>
    <w:rsid w:val="00833C5B"/>
    <w:rsid w:val="008914C9"/>
    <w:rsid w:val="008B6A6E"/>
    <w:rsid w:val="008D5EA0"/>
    <w:rsid w:val="00941BA5"/>
    <w:rsid w:val="00952DF1"/>
    <w:rsid w:val="009A5649"/>
    <w:rsid w:val="009C3172"/>
    <w:rsid w:val="00A67E13"/>
    <w:rsid w:val="00A7521F"/>
    <w:rsid w:val="00B21295"/>
    <w:rsid w:val="00C00251"/>
    <w:rsid w:val="00C0301F"/>
    <w:rsid w:val="00C92B5D"/>
    <w:rsid w:val="00DB4E22"/>
    <w:rsid w:val="00E63BD0"/>
    <w:rsid w:val="00F459C7"/>
    <w:rsid w:val="00F764A5"/>
    <w:rsid w:val="00FA32B5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5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06D93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006D9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5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06D93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006D9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693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3421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37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2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90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7390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53620"/>
                                            <w:right w:val="none" w:sz="0" w:space="0" w:color="auto"/>
                                          </w:divBdr>
                                        </w:div>
                                        <w:div w:id="18149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0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84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5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6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7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36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172">
          <w:marLeft w:val="0"/>
          <w:marRight w:val="0"/>
          <w:marTop w:val="0"/>
          <w:marBottom w:val="0"/>
          <w:divBdr>
            <w:top w:val="single" w:sz="18" w:space="0" w:color="F7FCDF"/>
            <w:left w:val="single" w:sz="18" w:space="0" w:color="E1EDA9"/>
            <w:bottom w:val="single" w:sz="18" w:space="0" w:color="F7FCDF"/>
            <w:right w:val="single" w:sz="18" w:space="0" w:color="E1EDA9"/>
          </w:divBdr>
          <w:divsChild>
            <w:div w:id="1200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32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59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CA62-93D8-4BE9-B204-38AF5757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2019-01-09T13:29:00Z</cp:lastPrinted>
  <dcterms:created xsi:type="dcterms:W3CDTF">2019-01-10T11:27:00Z</dcterms:created>
  <dcterms:modified xsi:type="dcterms:W3CDTF">2019-02-01T08:25:00Z</dcterms:modified>
</cp:coreProperties>
</file>