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E" w:rsidRDefault="0092158E" w:rsidP="0092158E">
      <w:pPr>
        <w:ind w:firstLine="567"/>
        <w:jc w:val="center"/>
        <w:rPr>
          <w:b/>
          <w:lang w:val="uk-UA"/>
        </w:rPr>
      </w:pPr>
      <w:r w:rsidRPr="009C4269">
        <w:rPr>
          <w:b/>
          <w:lang w:val="uk-UA"/>
        </w:rPr>
        <w:t xml:space="preserve">Інформація </w:t>
      </w:r>
    </w:p>
    <w:p w:rsidR="0092158E" w:rsidRDefault="0092158E" w:rsidP="0092158E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на засідання виконавчого комітету Лисичанської міської ради</w:t>
      </w:r>
    </w:p>
    <w:p w:rsidR="0092158E" w:rsidRDefault="0092158E" w:rsidP="0092158E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Pr="009C4269">
        <w:rPr>
          <w:b/>
          <w:lang w:val="uk-UA"/>
        </w:rPr>
        <w:t>Про хід виконання міської програми реалізації державної молодіжної та сімейної політики на території міста Лисичанськ на 2016 - 2020 роки»</w:t>
      </w:r>
      <w:r>
        <w:rPr>
          <w:b/>
          <w:lang w:val="uk-UA"/>
        </w:rPr>
        <w:t xml:space="preserve"> </w:t>
      </w:r>
    </w:p>
    <w:p w:rsidR="0092158E" w:rsidRDefault="0092158E" w:rsidP="0092158E">
      <w:pPr>
        <w:ind w:firstLine="567"/>
        <w:jc w:val="center"/>
        <w:rPr>
          <w:b/>
          <w:lang w:val="uk-UA"/>
        </w:rPr>
      </w:pPr>
      <w:r w:rsidRPr="00EF7E54">
        <w:rPr>
          <w:b/>
          <w:lang w:val="uk-UA"/>
        </w:rPr>
        <w:t>у 2018 році</w:t>
      </w:r>
    </w:p>
    <w:p w:rsidR="0092158E" w:rsidRPr="00F12BD1" w:rsidRDefault="0092158E" w:rsidP="0092158E">
      <w:pPr>
        <w:ind w:firstLine="567"/>
        <w:jc w:val="center"/>
        <w:rPr>
          <w:b/>
          <w:lang w:val="uk-UA"/>
        </w:rPr>
      </w:pPr>
      <w:r w:rsidRPr="00F12BD1">
        <w:rPr>
          <w:b/>
          <w:lang w:val="uk-UA"/>
        </w:rPr>
        <w:t>18 червня 2019 р</w:t>
      </w:r>
      <w:r w:rsidR="00426247">
        <w:rPr>
          <w:b/>
          <w:lang w:val="uk-UA"/>
        </w:rPr>
        <w:t>оку</w:t>
      </w:r>
      <w:bookmarkStart w:id="0" w:name="_GoBack"/>
      <w:bookmarkEnd w:id="0"/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Для вирішення в м. Лисичанську поставлених державою завдань щодо реалізації державної політики стосовно сім’ї, жінок, дітей та молоді Рішенням Лисичанської міської ради № 6/73 від 28.01.2016 р. була затверджена «Міська програма реалізації державної молодіжної та сімейної політики на території міста Лисичанськ на 2016 - 2020 роки». Молодіжна політика спрямована на: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</w:t>
      </w:r>
      <w:r w:rsidRPr="00EF7E54">
        <w:rPr>
          <w:lang w:val="uk-UA"/>
        </w:rPr>
        <w:tab/>
        <w:t xml:space="preserve">організаційне та методичне забезпечення; формування громадської позиції і національно-патріотичне виховання; </w:t>
      </w:r>
      <w:r w:rsidRPr="00EF7E54">
        <w:rPr>
          <w:lang w:val="uk-UA"/>
        </w:rPr>
        <w:tab/>
        <w:t xml:space="preserve">створення умов для інтелектуального самовдосконалення молоді, творчого розвитку особистості; пропаганду та формування здорового способу життя та збереження репродуктивного здоров’я сім’ї; розвиток неформальної освіти; </w:t>
      </w:r>
      <w:r w:rsidRPr="00EF7E54">
        <w:rPr>
          <w:lang w:val="uk-UA"/>
        </w:rPr>
        <w:tab/>
        <w:t>утвердження духовності, моральності, формування правової культури молоді; зайнятість молоді; забезпечення реалізації прав молоді з особливими потребами; створення сприятливого середовища для забезпечення зайнятості молоді; формування позитивного іміджу шлюбу та сім'ї; партнерську підтримк</w:t>
      </w:r>
      <w:r>
        <w:rPr>
          <w:lang w:val="uk-UA"/>
        </w:rPr>
        <w:t>у</w:t>
      </w:r>
      <w:r w:rsidRPr="00EF7E54">
        <w:rPr>
          <w:lang w:val="uk-UA"/>
        </w:rPr>
        <w:t xml:space="preserve"> молоді, що проживає на тимчасово окупованій території України, та внутрішньо переміщених осіб; посилення виховного впливу сім’ї; підтримк</w:t>
      </w:r>
      <w:r>
        <w:rPr>
          <w:lang w:val="uk-UA"/>
        </w:rPr>
        <w:t>у</w:t>
      </w:r>
      <w:r w:rsidRPr="00EF7E54">
        <w:rPr>
          <w:lang w:val="uk-UA"/>
        </w:rPr>
        <w:t xml:space="preserve"> сімей, в яких народилася двійня, трійня та більше дітей; попередження насильства в сім'ї.</w:t>
      </w:r>
    </w:p>
    <w:p w:rsidR="0092158E" w:rsidRPr="00EF7E54" w:rsidRDefault="0092158E" w:rsidP="0092158E">
      <w:pPr>
        <w:ind w:left="840" w:firstLine="567"/>
        <w:rPr>
          <w:b/>
          <w:lang w:val="uk-UA" w:eastAsia="uk-UA"/>
        </w:rPr>
      </w:pPr>
      <w:r w:rsidRPr="00EF7E54">
        <w:rPr>
          <w:b/>
          <w:lang w:val="uk-UA" w:eastAsia="uk-UA"/>
        </w:rPr>
        <w:t>Орієнтовний обсяг фінансування заходів Програми:</w:t>
      </w:r>
    </w:p>
    <w:tbl>
      <w:tblPr>
        <w:tblW w:w="972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220"/>
        <w:gridCol w:w="1240"/>
        <w:gridCol w:w="1168"/>
        <w:gridCol w:w="1134"/>
        <w:gridCol w:w="993"/>
      </w:tblGrid>
      <w:tr w:rsidR="0092158E" w:rsidRPr="00EF7E54" w:rsidTr="0088747D">
        <w:trPr>
          <w:trHeight w:val="27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567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Джерела</w:t>
            </w:r>
          </w:p>
        </w:tc>
        <w:tc>
          <w:tcPr>
            <w:tcW w:w="68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Прогнозні обсяги фінансування, тис. гривень</w:t>
            </w:r>
          </w:p>
        </w:tc>
      </w:tr>
      <w:tr w:rsidR="0092158E" w:rsidRPr="00EF7E54" w:rsidTr="0088747D">
        <w:trPr>
          <w:trHeight w:val="27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567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фінансування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Усього</w:t>
            </w:r>
          </w:p>
        </w:tc>
        <w:tc>
          <w:tcPr>
            <w:tcW w:w="5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за роками</w:t>
            </w:r>
          </w:p>
        </w:tc>
      </w:tr>
      <w:tr w:rsidR="0092158E" w:rsidRPr="00EF7E54" w:rsidTr="0088747D">
        <w:trPr>
          <w:trHeight w:val="41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8E" w:rsidRPr="00EF7E54" w:rsidRDefault="0092158E" w:rsidP="0088747D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58E" w:rsidRPr="00EF7E54" w:rsidRDefault="0092158E" w:rsidP="0088747D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2017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2020</w:t>
            </w:r>
          </w:p>
        </w:tc>
      </w:tr>
      <w:tr w:rsidR="0092158E" w:rsidRPr="00EF7E54" w:rsidTr="0088747D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306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55,4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74,6</w:t>
            </w:r>
          </w:p>
        </w:tc>
      </w:tr>
      <w:tr w:rsidR="0092158E" w:rsidRPr="00EF7E54" w:rsidTr="0088747D">
        <w:trPr>
          <w:trHeight w:val="2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306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</w:p>
        </w:tc>
      </w:tr>
      <w:tr w:rsidR="0092158E" w:rsidRPr="00EF7E54" w:rsidTr="0088747D">
        <w:trPr>
          <w:trHeight w:val="51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306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Обласний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58E" w:rsidRPr="00EF7E54" w:rsidRDefault="0092158E" w:rsidP="0088747D">
            <w:pPr>
              <w:jc w:val="center"/>
              <w:rPr>
                <w:lang w:val="uk-UA" w:eastAsia="uk-UA"/>
              </w:rPr>
            </w:pPr>
          </w:p>
        </w:tc>
      </w:tr>
      <w:tr w:rsidR="0092158E" w:rsidRPr="00EF7E54" w:rsidTr="0088747D">
        <w:trPr>
          <w:trHeight w:val="5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306"/>
              <w:rPr>
                <w:b/>
                <w:lang w:val="uk-UA" w:eastAsia="uk-UA"/>
              </w:rPr>
            </w:pPr>
            <w:r w:rsidRPr="00EF7E54">
              <w:rPr>
                <w:b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293,2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55,4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b/>
                <w:w w:val="99"/>
                <w:lang w:val="uk-UA" w:eastAsia="uk-UA"/>
              </w:rPr>
            </w:pPr>
            <w:r w:rsidRPr="00EF7E54">
              <w:rPr>
                <w:b/>
                <w:w w:val="99"/>
                <w:lang w:val="uk-UA" w:eastAsia="uk-UA"/>
              </w:rPr>
              <w:t>74,6</w:t>
            </w:r>
          </w:p>
        </w:tc>
      </w:tr>
      <w:tr w:rsidR="0092158E" w:rsidRPr="00EF7E54" w:rsidTr="0088747D">
        <w:trPr>
          <w:trHeight w:val="261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306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Інші кошти (гранти,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w w:val="99"/>
                <w:lang w:val="uk-UA" w:eastAsia="uk-UA"/>
              </w:rPr>
            </w:pPr>
            <w:r w:rsidRPr="00EF7E54">
              <w:rPr>
                <w:w w:val="99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158E" w:rsidRPr="00EF7E54" w:rsidRDefault="0092158E" w:rsidP="0088747D">
            <w:pPr>
              <w:ind w:firstLine="567"/>
              <w:jc w:val="center"/>
              <w:rPr>
                <w:w w:val="99"/>
                <w:lang w:val="uk-UA" w:eastAsia="uk-UA"/>
              </w:rPr>
            </w:pPr>
          </w:p>
        </w:tc>
      </w:tr>
      <w:tr w:rsidR="0092158E" w:rsidRPr="00EF7E54" w:rsidTr="0088747D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158E" w:rsidRPr="00EF7E54" w:rsidRDefault="0092158E" w:rsidP="0088747D">
            <w:pPr>
              <w:ind w:left="120" w:firstLine="306"/>
              <w:rPr>
                <w:lang w:val="uk-UA" w:eastAsia="uk-UA"/>
              </w:rPr>
            </w:pPr>
            <w:r w:rsidRPr="00EF7E54">
              <w:rPr>
                <w:lang w:val="uk-UA" w:eastAsia="uk-UA"/>
              </w:rPr>
              <w:t>проекти,</w:t>
            </w:r>
            <w:r>
              <w:rPr>
                <w:lang w:val="uk-UA" w:eastAsia="uk-UA"/>
              </w:rPr>
              <w:t xml:space="preserve"> </w:t>
            </w:r>
            <w:r w:rsidRPr="00EF7E54">
              <w:rPr>
                <w:lang w:val="uk-UA" w:eastAsia="uk-UA"/>
              </w:rPr>
              <w:t>інвестиції)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58E" w:rsidRPr="00EF7E54" w:rsidRDefault="0092158E" w:rsidP="0088747D">
            <w:pPr>
              <w:ind w:firstLine="567"/>
              <w:jc w:val="center"/>
              <w:rPr>
                <w:lang w:val="uk-UA" w:eastAsia="uk-UA"/>
              </w:rPr>
            </w:pPr>
          </w:p>
        </w:tc>
      </w:tr>
    </w:tbl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Чисельність постійного населення у віці 14-34 років у м. Лисичанськ (м. Привілля, м. Новодружеськ) станом на 01.01.2018 року становила 27342 особи.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Відповідно до виконання міської програми реалізації державної молодіжної та сімейної політики в м. Лисичанську на 2016-2020 роки впродовж 2018 року відділом у справах сім’ї, молоді та спорту були організовані та проведені наступні заходи: зустріч молоді міста з учасниками бойових дій в зоні АТО. Зустріч поколінь: «Захисникам України присвячується»; спортивно-масові заходи до святкування Масляної «Масляна — жартівниця»; міський фестиваль-конкурс української патріотичної пісні «Озброєні піснею»; Призов </w:t>
      </w:r>
      <w:r w:rsidRPr="00EF7E54">
        <w:rPr>
          <w:lang w:val="uk-UA"/>
        </w:rPr>
        <w:lastRenderedPageBreak/>
        <w:t xml:space="preserve">молоді міста до лав ЗСУ; І міський етап Всеукраїнської дитячо-юнацької військово-патріотичної гри «Сокіл»" («Джура») серед школярів та учнів професійних ліцеїв міста; «День матері», «День сім’ї»; відкрита міська Спартакіада інвалідів та їх сімей; загальноміське свято до Дня Молоді в Україні; Перший відкритий регіональний турнір </w:t>
      </w:r>
      <w:proofErr w:type="spellStart"/>
      <w:r w:rsidRPr="00EF7E54">
        <w:rPr>
          <w:lang w:val="uk-UA"/>
        </w:rPr>
        <w:t>дрег-рейсінгу</w:t>
      </w:r>
      <w:proofErr w:type="spellEnd"/>
      <w:r w:rsidRPr="00EF7E54">
        <w:rPr>
          <w:lang w:val="uk-UA"/>
        </w:rPr>
        <w:t xml:space="preserve"> за участю ГО «</w:t>
      </w:r>
      <w:proofErr w:type="spellStart"/>
      <w:r w:rsidRPr="00EF7E54">
        <w:rPr>
          <w:lang w:val="uk-UA"/>
        </w:rPr>
        <w:t>Rollndrive</w:t>
      </w:r>
      <w:proofErr w:type="spellEnd"/>
      <w:r w:rsidRPr="00EF7E54">
        <w:rPr>
          <w:lang w:val="uk-UA"/>
        </w:rPr>
        <w:t xml:space="preserve">»; Кубок голови м. Лисичанська Сергія </w:t>
      </w:r>
      <w:proofErr w:type="spellStart"/>
      <w:r w:rsidRPr="00EF7E54">
        <w:rPr>
          <w:lang w:val="uk-UA"/>
        </w:rPr>
        <w:t>Шиліна</w:t>
      </w:r>
      <w:proofErr w:type="spellEnd"/>
      <w:r w:rsidRPr="00EF7E54">
        <w:rPr>
          <w:lang w:val="uk-UA"/>
        </w:rPr>
        <w:t xml:space="preserve"> DRAG RACING, Традиційний міжрегіональний турнір з волейболу серед чоловічих команд на Кубок міського голови, спортивно-масові заходи до Дня захисту дітей, Дня Незалежності України, Дня визволення міста від німецько-фашистських загарбників, міський фестиваль-конкурс КВК серед студентських команд вищих навчальних закладів І-ІІ рівнів акредитації та професійних ліцеїв міста «Місто молоді», привітання студентської молоді пільгової категорії з Днем Святого Миколая).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В рамках реалізації молодіжної політики молодь </w:t>
      </w:r>
      <w:r>
        <w:rPr>
          <w:lang w:val="uk-UA"/>
        </w:rPr>
        <w:t xml:space="preserve">була </w:t>
      </w:r>
      <w:r w:rsidRPr="00EF7E54">
        <w:rPr>
          <w:lang w:val="uk-UA"/>
        </w:rPr>
        <w:t>залуч</w:t>
      </w:r>
      <w:r>
        <w:rPr>
          <w:lang w:val="uk-UA"/>
        </w:rPr>
        <w:t>ена</w:t>
      </w:r>
      <w:r w:rsidRPr="00EF7E54">
        <w:rPr>
          <w:lang w:val="uk-UA"/>
        </w:rPr>
        <w:t xml:space="preserve"> до участі в міських заходах: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конкурс талановитої молоді «Світ моделей»;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регіональний фестиваль творчої молоді «Сузір’я колискової Донбасу»;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фінал міського етапу XIII щорічної Всеукраїнської благодійної акції «Серце до серця», який було проведено на базі Державного професійно-технічного навчального закладу «</w:t>
      </w:r>
      <w:proofErr w:type="spellStart"/>
      <w:r w:rsidRPr="00EF7E54">
        <w:rPr>
          <w:lang w:val="uk-UA"/>
        </w:rPr>
        <w:t>Привільський</w:t>
      </w:r>
      <w:proofErr w:type="spellEnd"/>
      <w:r w:rsidRPr="00EF7E54">
        <w:rPr>
          <w:lang w:val="uk-UA"/>
        </w:rPr>
        <w:t xml:space="preserve"> професійний ліцей». За підсумками акції зібрано 3 812 гривень.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спорт-шоу «Битва шкіл» та крос-фіт до Дня молоді в Україні за участю ГО «</w:t>
      </w:r>
      <w:proofErr w:type="spellStart"/>
      <w:r w:rsidRPr="00EF7E54">
        <w:rPr>
          <w:lang w:val="uk-UA"/>
        </w:rPr>
        <w:t>Движение</w:t>
      </w:r>
      <w:proofErr w:type="spellEnd"/>
      <w:r w:rsidRPr="00EF7E54">
        <w:rPr>
          <w:lang w:val="uk-UA"/>
        </w:rPr>
        <w:t xml:space="preserve"> — </w:t>
      </w:r>
      <w:proofErr w:type="spellStart"/>
      <w:r w:rsidRPr="00EF7E54">
        <w:rPr>
          <w:lang w:val="uk-UA"/>
        </w:rPr>
        <w:t>это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жизнь</w:t>
      </w:r>
      <w:proofErr w:type="spellEnd"/>
      <w:r w:rsidRPr="00EF7E54">
        <w:rPr>
          <w:lang w:val="uk-UA"/>
        </w:rPr>
        <w:t>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масовий спортивний захід «Ігри героїв» та «Фітнес-день» з фітнес-клубом «</w:t>
      </w:r>
      <w:proofErr w:type="spellStart"/>
      <w:r w:rsidRPr="00EF7E54">
        <w:rPr>
          <w:lang w:val="uk-UA"/>
        </w:rPr>
        <w:t>Евангелина</w:t>
      </w:r>
      <w:proofErr w:type="spellEnd"/>
      <w:r w:rsidRPr="00EF7E54">
        <w:rPr>
          <w:lang w:val="uk-UA"/>
        </w:rPr>
        <w:t>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 спільно з регіональною суспільно-політичною газетою «</w:t>
      </w:r>
      <w:proofErr w:type="spellStart"/>
      <w:r w:rsidRPr="00EF7E54">
        <w:rPr>
          <w:lang w:val="uk-UA"/>
        </w:rPr>
        <w:t>Новый</w:t>
      </w:r>
      <w:proofErr w:type="spellEnd"/>
      <w:r w:rsidRPr="00EF7E54">
        <w:rPr>
          <w:lang w:val="uk-UA"/>
        </w:rPr>
        <w:t xml:space="preserve"> путь», </w:t>
      </w:r>
      <w:proofErr w:type="spellStart"/>
      <w:r w:rsidRPr="00EF7E54">
        <w:rPr>
          <w:lang w:val="uk-UA"/>
        </w:rPr>
        <w:t>еvent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сompany</w:t>
      </w:r>
      <w:proofErr w:type="spellEnd"/>
      <w:r w:rsidRPr="00EF7E54">
        <w:rPr>
          <w:lang w:val="uk-UA"/>
        </w:rPr>
        <w:t xml:space="preserve"> «</w:t>
      </w:r>
      <w:proofErr w:type="spellStart"/>
      <w:r w:rsidRPr="00EF7E54">
        <w:rPr>
          <w:lang w:val="uk-UA"/>
        </w:rPr>
        <w:t>LisHoliday</w:t>
      </w:r>
      <w:proofErr w:type="spellEnd"/>
      <w:r w:rsidRPr="00EF7E54">
        <w:rPr>
          <w:lang w:val="uk-UA"/>
        </w:rPr>
        <w:t>» и ФК «</w:t>
      </w:r>
      <w:proofErr w:type="spellStart"/>
      <w:r w:rsidRPr="00EF7E54">
        <w:rPr>
          <w:lang w:val="uk-UA"/>
        </w:rPr>
        <w:t>Евангелина</w:t>
      </w:r>
      <w:proofErr w:type="spellEnd"/>
      <w:r w:rsidRPr="00EF7E54">
        <w:rPr>
          <w:lang w:val="uk-UA"/>
        </w:rPr>
        <w:t>» було проведено фотоконкурс «Заняття улюбленим видом спорту»;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- </w:t>
      </w:r>
      <w:proofErr w:type="spellStart"/>
      <w:r w:rsidRPr="00EF7E54">
        <w:rPr>
          <w:lang w:val="uk-UA"/>
        </w:rPr>
        <w:t>квест-гра</w:t>
      </w:r>
      <w:proofErr w:type="spellEnd"/>
      <w:r w:rsidRPr="00EF7E54">
        <w:rPr>
          <w:lang w:val="uk-UA"/>
        </w:rPr>
        <w:t xml:space="preserve"> «Запалюємо зорі» до Дня Святого Миколая.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З метою активізації співпраці між молоддю та місцевим самоврядуванням, залучення до всеукраїнських та міжнародних проектів, за підтримки міської ради молодь Лисичанська приймала участь в: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конкурсі «Молодіжна столиця України»;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>-</w:t>
      </w:r>
      <w:r w:rsidRPr="00EF7E54">
        <w:rPr>
          <w:lang w:val="uk-UA"/>
        </w:rPr>
        <w:t xml:space="preserve"> міжнародному проекті «</w:t>
      </w:r>
      <w:proofErr w:type="spellStart"/>
      <w:r w:rsidRPr="00EF7E54">
        <w:rPr>
          <w:lang w:val="uk-UA"/>
        </w:rPr>
        <w:t>Music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Сamp</w:t>
      </w:r>
      <w:proofErr w:type="spellEnd"/>
      <w:r w:rsidRPr="00EF7E54">
        <w:rPr>
          <w:lang w:val="uk-UA"/>
        </w:rPr>
        <w:t>» (за ініціативи громадської організації «</w:t>
      </w:r>
      <w:proofErr w:type="spellStart"/>
      <w:r w:rsidRPr="00EF7E54">
        <w:rPr>
          <w:lang w:val="uk-UA"/>
        </w:rPr>
        <w:t>Мост</w:t>
      </w:r>
      <w:proofErr w:type="spellEnd"/>
      <w:r w:rsidRPr="00EF7E54">
        <w:rPr>
          <w:lang w:val="uk-UA"/>
        </w:rPr>
        <w:t xml:space="preserve"> 3.10»);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— міжнародному телемості з Національною бібліотекою Литви імені </w:t>
      </w:r>
      <w:proofErr w:type="spellStart"/>
      <w:r w:rsidRPr="00EF7E54">
        <w:rPr>
          <w:lang w:val="uk-UA"/>
        </w:rPr>
        <w:t>Мартінаса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Мажвідаса</w:t>
      </w:r>
      <w:proofErr w:type="spellEnd"/>
      <w:r w:rsidRPr="00EF7E54">
        <w:rPr>
          <w:lang w:val="uk-UA"/>
        </w:rPr>
        <w:t xml:space="preserve"> (за участі студентів ВП «ЛПК ім. Т. Шевченка»);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— «</w:t>
      </w:r>
      <w:proofErr w:type="spellStart"/>
      <w:r w:rsidRPr="00EF7E54">
        <w:rPr>
          <w:lang w:val="uk-UA"/>
        </w:rPr>
        <w:t>Двіж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on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Wheels</w:t>
      </w:r>
      <w:proofErr w:type="spellEnd"/>
      <w:r w:rsidRPr="00EF7E54">
        <w:rPr>
          <w:lang w:val="uk-UA"/>
        </w:rPr>
        <w:t>» сумісно з МС «LSK YOUTH», ГО «</w:t>
      </w:r>
      <w:proofErr w:type="spellStart"/>
      <w:r w:rsidRPr="00EF7E54">
        <w:rPr>
          <w:lang w:val="uk-UA"/>
        </w:rPr>
        <w:t>The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People</w:t>
      </w:r>
      <w:proofErr w:type="spellEnd"/>
      <w:r w:rsidRPr="00EF7E54">
        <w:rPr>
          <w:lang w:val="uk-UA"/>
        </w:rPr>
        <w:t xml:space="preserve">», «Асоціація велосипедистів </w:t>
      </w:r>
      <w:proofErr w:type="spellStart"/>
      <w:r w:rsidRPr="00EF7E54">
        <w:rPr>
          <w:lang w:val="uk-UA"/>
        </w:rPr>
        <w:t>Київа</w:t>
      </w:r>
      <w:proofErr w:type="spellEnd"/>
      <w:r w:rsidRPr="00EF7E54">
        <w:rPr>
          <w:lang w:val="uk-UA"/>
        </w:rPr>
        <w:t>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— </w:t>
      </w:r>
      <w:proofErr w:type="spellStart"/>
      <w:r w:rsidRPr="00EF7E54">
        <w:rPr>
          <w:lang w:val="uk-UA"/>
        </w:rPr>
        <w:t>City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Day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Quest</w:t>
      </w:r>
      <w:proofErr w:type="spellEnd"/>
      <w:r w:rsidRPr="00EF7E54">
        <w:rPr>
          <w:lang w:val="uk-UA"/>
        </w:rPr>
        <w:t xml:space="preserve"> за підтримки ООН до Дня м. Лисичанська та з нагоди відзначення 70 — річчя декларації прав людини;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— обласний відкритий фестиваль-конкурс молодіжної культури «Дике поле — </w:t>
      </w:r>
      <w:proofErr w:type="spellStart"/>
      <w:r w:rsidRPr="00EF7E54">
        <w:rPr>
          <w:lang w:val="uk-UA"/>
        </w:rPr>
        <w:t>фест</w:t>
      </w:r>
      <w:proofErr w:type="spellEnd"/>
      <w:r w:rsidRPr="00EF7E54">
        <w:rPr>
          <w:lang w:val="uk-UA"/>
        </w:rPr>
        <w:t>» (</w:t>
      </w:r>
      <w:proofErr w:type="spellStart"/>
      <w:r w:rsidRPr="00EF7E54">
        <w:rPr>
          <w:lang w:val="uk-UA"/>
        </w:rPr>
        <w:t>смт</w:t>
      </w:r>
      <w:proofErr w:type="spellEnd"/>
      <w:r w:rsidRPr="00EF7E54">
        <w:rPr>
          <w:lang w:val="uk-UA"/>
        </w:rPr>
        <w:t xml:space="preserve">. </w:t>
      </w:r>
      <w:proofErr w:type="spellStart"/>
      <w:r w:rsidRPr="00EF7E54">
        <w:rPr>
          <w:lang w:val="uk-UA"/>
        </w:rPr>
        <w:t>Новопсков</w:t>
      </w:r>
      <w:proofErr w:type="spellEnd"/>
      <w:r w:rsidRPr="00EF7E54">
        <w:rPr>
          <w:lang w:val="uk-UA"/>
        </w:rPr>
        <w:t>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 фестиваль «</w:t>
      </w:r>
      <w:proofErr w:type="spellStart"/>
      <w:r w:rsidRPr="00EF7E54">
        <w:rPr>
          <w:lang w:val="uk-UA"/>
        </w:rPr>
        <w:t>ДружбаФест</w:t>
      </w:r>
      <w:proofErr w:type="spellEnd"/>
      <w:r w:rsidRPr="00EF7E54">
        <w:rPr>
          <w:lang w:val="uk-UA"/>
        </w:rPr>
        <w:t>» в рамках проекту «</w:t>
      </w:r>
      <w:proofErr w:type="spellStart"/>
      <w:r w:rsidRPr="00EF7E54">
        <w:rPr>
          <w:lang w:val="uk-UA"/>
        </w:rPr>
        <w:t>Метамісто</w:t>
      </w:r>
      <w:proofErr w:type="spellEnd"/>
      <w:r w:rsidRPr="00EF7E54">
        <w:rPr>
          <w:lang w:val="uk-UA"/>
        </w:rPr>
        <w:t xml:space="preserve">: Схід» з м. Києва (ГО «Гараж </w:t>
      </w:r>
      <w:proofErr w:type="spellStart"/>
      <w:r w:rsidRPr="00EF7E54">
        <w:rPr>
          <w:lang w:val="uk-UA"/>
        </w:rPr>
        <w:t>Генг</w:t>
      </w:r>
      <w:proofErr w:type="spellEnd"/>
      <w:r w:rsidRPr="00EF7E54">
        <w:rPr>
          <w:lang w:val="uk-UA"/>
        </w:rPr>
        <w:t xml:space="preserve">») у співпраці з архітектурним бюро </w:t>
      </w:r>
      <w:proofErr w:type="spellStart"/>
      <w:r w:rsidRPr="00EF7E54">
        <w:rPr>
          <w:lang w:val="uk-UA"/>
        </w:rPr>
        <w:t>Formografia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design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studio</w:t>
      </w:r>
      <w:proofErr w:type="spellEnd"/>
      <w:r w:rsidRPr="00EF7E54">
        <w:rPr>
          <w:lang w:val="uk-UA"/>
        </w:rPr>
        <w:t xml:space="preserve"> та ГО «</w:t>
      </w:r>
      <w:proofErr w:type="spellStart"/>
      <w:r w:rsidRPr="00EF7E54">
        <w:rPr>
          <w:lang w:val="uk-UA"/>
        </w:rPr>
        <w:t>Street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Culture</w:t>
      </w:r>
      <w:proofErr w:type="spellEnd"/>
      <w:r w:rsidRPr="00EF7E54">
        <w:rPr>
          <w:lang w:val="uk-UA"/>
        </w:rPr>
        <w:t>» з м. Харкова;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lastRenderedPageBreak/>
        <w:t xml:space="preserve">- Форум з </w:t>
      </w:r>
      <w:proofErr w:type="spellStart"/>
      <w:r w:rsidRPr="00EF7E54">
        <w:rPr>
          <w:lang w:val="uk-UA"/>
        </w:rPr>
        <w:t>інклюзивності</w:t>
      </w:r>
      <w:proofErr w:type="spellEnd"/>
      <w:r w:rsidRPr="00EF7E54">
        <w:rPr>
          <w:lang w:val="uk-UA"/>
        </w:rPr>
        <w:t xml:space="preserve"> в рамках Всеукраїнського </w:t>
      </w:r>
      <w:proofErr w:type="spellStart"/>
      <w:r w:rsidRPr="00EF7E54">
        <w:rPr>
          <w:lang w:val="uk-UA"/>
        </w:rPr>
        <w:t>флешмобу</w:t>
      </w:r>
      <w:proofErr w:type="spellEnd"/>
      <w:r w:rsidRPr="00EF7E54">
        <w:rPr>
          <w:lang w:val="uk-UA"/>
        </w:rPr>
        <w:t xml:space="preserve"> «</w:t>
      </w:r>
      <w:proofErr w:type="spellStart"/>
      <w:r w:rsidRPr="00EF7E54">
        <w:rPr>
          <w:lang w:val="uk-UA"/>
        </w:rPr>
        <w:t>Вікенд</w:t>
      </w:r>
      <w:proofErr w:type="spellEnd"/>
      <w:r w:rsidRPr="00EF7E54">
        <w:rPr>
          <w:lang w:val="uk-UA"/>
        </w:rPr>
        <w:t xml:space="preserve"> необмежених можливостей 2018» за підтримки #ПРООН/ #UNDP #RPP за ініціативи Луганської </w:t>
      </w:r>
      <w:proofErr w:type="spellStart"/>
      <w:r w:rsidRPr="00EF7E54">
        <w:rPr>
          <w:lang w:val="uk-UA"/>
        </w:rPr>
        <w:t>Асоцiацiї</w:t>
      </w:r>
      <w:proofErr w:type="spellEnd"/>
      <w:r w:rsidRPr="00EF7E54">
        <w:rPr>
          <w:lang w:val="uk-UA"/>
        </w:rPr>
        <w:t xml:space="preserve"> </w:t>
      </w:r>
      <w:proofErr w:type="spellStart"/>
      <w:r w:rsidRPr="00EF7E54">
        <w:rPr>
          <w:lang w:val="uk-UA"/>
        </w:rPr>
        <w:t>органiзацiї</w:t>
      </w:r>
      <w:proofErr w:type="spellEnd"/>
      <w:r w:rsidRPr="00EF7E54">
        <w:rPr>
          <w:lang w:val="uk-UA"/>
        </w:rPr>
        <w:t xml:space="preserve"> осіб з інвалідністю, Департаменту соціального захисту населення Луганської ОДА.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08-10 жовтня 2018 року представники міської ради, які опікуються питаннями молодіжної політики, прийняли участь у Всеукраїнському семінарі «Молодіжна політика в Україні: партнерство та перспективи розвитку» та 01-03 листопада 2018 року з залученням членів міської молодіжної ради - у тренінгу «Активні громадяни» за ініціативи Британської Ради в Україні (м. Лисичанськ).</w:t>
      </w:r>
    </w:p>
    <w:p w:rsidR="0092158E" w:rsidRPr="0025722F" w:rsidRDefault="0092158E" w:rsidP="0092158E">
      <w:pPr>
        <w:ind w:firstLine="567"/>
        <w:jc w:val="both"/>
        <w:rPr>
          <w:lang w:val="uk-UA"/>
        </w:rPr>
      </w:pPr>
      <w:r w:rsidRPr="0025722F">
        <w:rPr>
          <w:lang w:val="uk-UA"/>
        </w:rPr>
        <w:t>На базі Лисичанського комунального підприємства «Кінотеатр Дружба» відкрито молодіжний центр «Дружба». 20-21.10.2018 року відбулось відкриття оновленого центру вуличних культур «Дружба» - фестиваль «</w:t>
      </w:r>
      <w:proofErr w:type="spellStart"/>
      <w:r w:rsidRPr="0025722F">
        <w:rPr>
          <w:lang w:val="uk-UA"/>
        </w:rPr>
        <w:t>ДружбаФест</w:t>
      </w:r>
      <w:proofErr w:type="spellEnd"/>
      <w:r w:rsidRPr="0025722F">
        <w:rPr>
          <w:lang w:val="uk-UA"/>
        </w:rPr>
        <w:t xml:space="preserve">». Захід пройшов за підтримки міського голови Сергія </w:t>
      </w:r>
      <w:proofErr w:type="spellStart"/>
      <w:r w:rsidRPr="0025722F">
        <w:rPr>
          <w:lang w:val="uk-UA"/>
        </w:rPr>
        <w:t>Шиліна</w:t>
      </w:r>
      <w:proofErr w:type="spellEnd"/>
      <w:r w:rsidRPr="0025722F">
        <w:rPr>
          <w:lang w:val="uk-UA"/>
        </w:rPr>
        <w:t xml:space="preserve"> і Лисичанської міської ради в рамках проекту «</w:t>
      </w:r>
      <w:proofErr w:type="spellStart"/>
      <w:r w:rsidRPr="0025722F">
        <w:rPr>
          <w:lang w:val="uk-UA"/>
        </w:rPr>
        <w:t>Метамісто</w:t>
      </w:r>
      <w:proofErr w:type="spellEnd"/>
      <w:r w:rsidRPr="0025722F">
        <w:rPr>
          <w:lang w:val="uk-UA"/>
        </w:rPr>
        <w:t xml:space="preserve">: Схід» з м. Київ (ГО «Гараж </w:t>
      </w:r>
      <w:proofErr w:type="spellStart"/>
      <w:r w:rsidRPr="0025722F">
        <w:rPr>
          <w:lang w:val="uk-UA"/>
        </w:rPr>
        <w:t>Генг</w:t>
      </w:r>
      <w:proofErr w:type="spellEnd"/>
      <w:r w:rsidRPr="0025722F">
        <w:rPr>
          <w:lang w:val="uk-UA"/>
        </w:rPr>
        <w:t xml:space="preserve">») у співпраці з архітектурним бюро </w:t>
      </w:r>
      <w:proofErr w:type="spellStart"/>
      <w:r w:rsidRPr="0025722F">
        <w:rPr>
          <w:lang w:val="uk-UA"/>
        </w:rPr>
        <w:t>Formografia</w:t>
      </w:r>
      <w:proofErr w:type="spellEnd"/>
      <w:r w:rsidRPr="0025722F">
        <w:rPr>
          <w:lang w:val="uk-UA"/>
        </w:rPr>
        <w:t xml:space="preserve"> </w:t>
      </w:r>
      <w:proofErr w:type="spellStart"/>
      <w:r w:rsidRPr="0025722F">
        <w:rPr>
          <w:lang w:val="uk-UA"/>
        </w:rPr>
        <w:t>design</w:t>
      </w:r>
      <w:proofErr w:type="spellEnd"/>
      <w:r w:rsidRPr="0025722F">
        <w:rPr>
          <w:lang w:val="uk-UA"/>
        </w:rPr>
        <w:t xml:space="preserve"> </w:t>
      </w:r>
      <w:proofErr w:type="spellStart"/>
      <w:r w:rsidRPr="0025722F">
        <w:rPr>
          <w:lang w:val="uk-UA"/>
        </w:rPr>
        <w:t>studio</w:t>
      </w:r>
      <w:proofErr w:type="spellEnd"/>
      <w:r w:rsidRPr="0025722F">
        <w:rPr>
          <w:lang w:val="uk-UA"/>
        </w:rPr>
        <w:t xml:space="preserve"> та ГО «</w:t>
      </w:r>
      <w:proofErr w:type="spellStart"/>
      <w:r w:rsidRPr="0025722F">
        <w:rPr>
          <w:lang w:val="uk-UA"/>
        </w:rPr>
        <w:t>Street</w:t>
      </w:r>
      <w:proofErr w:type="spellEnd"/>
      <w:r w:rsidRPr="0025722F">
        <w:rPr>
          <w:lang w:val="uk-UA"/>
        </w:rPr>
        <w:t xml:space="preserve"> </w:t>
      </w:r>
      <w:proofErr w:type="spellStart"/>
      <w:r w:rsidRPr="0025722F">
        <w:rPr>
          <w:lang w:val="uk-UA"/>
        </w:rPr>
        <w:t>Culture</w:t>
      </w:r>
      <w:proofErr w:type="spellEnd"/>
      <w:r w:rsidRPr="0025722F">
        <w:rPr>
          <w:lang w:val="uk-UA"/>
        </w:rPr>
        <w:t>» з м. Харків при фінансовій підтримці проекту «Зміцнення суспільної довіри» (UCBI II), що фінансується Агентством США з міжнародного розвитку (USAID).</w:t>
      </w:r>
    </w:p>
    <w:p w:rsidR="0092158E" w:rsidRPr="0025722F" w:rsidRDefault="0092158E" w:rsidP="0092158E">
      <w:pPr>
        <w:ind w:firstLine="567"/>
        <w:jc w:val="both"/>
        <w:rPr>
          <w:lang w:val="uk-UA"/>
        </w:rPr>
      </w:pPr>
      <w:proofErr w:type="spellStart"/>
      <w:r w:rsidRPr="0025722F">
        <w:rPr>
          <w:lang w:val="uk-UA"/>
        </w:rPr>
        <w:t>Мультифункціональний</w:t>
      </w:r>
      <w:proofErr w:type="spellEnd"/>
      <w:r w:rsidRPr="0025722F">
        <w:rPr>
          <w:lang w:val="uk-UA"/>
        </w:rPr>
        <w:t xml:space="preserve"> центр </w:t>
      </w:r>
      <w:proofErr w:type="spellStart"/>
      <w:r w:rsidRPr="0025722F">
        <w:rPr>
          <w:lang w:val="uk-UA"/>
        </w:rPr>
        <w:t>урбан-простору</w:t>
      </w:r>
      <w:proofErr w:type="spellEnd"/>
      <w:r w:rsidRPr="0025722F">
        <w:rPr>
          <w:lang w:val="uk-UA"/>
        </w:rPr>
        <w:t xml:space="preserve"> «Дружба» створений на базі </w:t>
      </w:r>
      <w:proofErr w:type="spellStart"/>
      <w:r w:rsidRPr="0025722F">
        <w:rPr>
          <w:lang w:val="uk-UA"/>
        </w:rPr>
        <w:t>скейт-парку</w:t>
      </w:r>
      <w:proofErr w:type="spellEnd"/>
      <w:r w:rsidRPr="0025722F">
        <w:rPr>
          <w:lang w:val="uk-UA"/>
        </w:rPr>
        <w:t xml:space="preserve"> «Дружба», відкриття якого відбулося в липні 2017 року. В цьому році командою ініціативної молоді були виконані роботи з будівництва додаткових фігур і мобільних конструкцій для різних видів вуличних культур (</w:t>
      </w:r>
      <w:proofErr w:type="spellStart"/>
      <w:r w:rsidRPr="0025722F">
        <w:rPr>
          <w:lang w:val="uk-UA"/>
        </w:rPr>
        <w:t>стріт-бол</w:t>
      </w:r>
      <w:proofErr w:type="spellEnd"/>
      <w:r w:rsidRPr="0025722F">
        <w:rPr>
          <w:lang w:val="uk-UA"/>
        </w:rPr>
        <w:t xml:space="preserve">, </w:t>
      </w:r>
      <w:proofErr w:type="spellStart"/>
      <w:r w:rsidRPr="0025722F">
        <w:rPr>
          <w:lang w:val="uk-UA"/>
        </w:rPr>
        <w:t>паркур</w:t>
      </w:r>
      <w:proofErr w:type="spellEnd"/>
      <w:r w:rsidRPr="0025722F">
        <w:rPr>
          <w:lang w:val="uk-UA"/>
        </w:rPr>
        <w:t>, вуличні танці), упорядковано вуличний простір біля входу, створена зона відпочинку. В результаті чого оновлений центр вуличних культур придбав новий вид і став затишніше для відвідувачів.</w:t>
      </w:r>
    </w:p>
    <w:p w:rsidR="0092158E" w:rsidRPr="0025722F" w:rsidRDefault="0092158E" w:rsidP="0092158E">
      <w:pPr>
        <w:ind w:firstLine="567"/>
        <w:jc w:val="both"/>
        <w:rPr>
          <w:lang w:val="uk-UA"/>
        </w:rPr>
      </w:pPr>
      <w:r w:rsidRPr="0025722F">
        <w:rPr>
          <w:lang w:val="uk-UA"/>
        </w:rPr>
        <w:t>Рішенням Лисичанської міської ради від 29.11.2018 № 54/831 була затверджена міська Програма розвитку молодіжного центру «Дружба» на 2019 рік. Метою Програми є сприяння соціалізації та самореалізації молоді, її всебічному розвитку підприємницьких навичок, зайнятості у вільний час, популяризації здорового способу життя, забезпечення громадянської освіти молоді шляхом створення в ЛКП «Кінотеатр «Дружба» молодіжного центру.</w:t>
      </w:r>
    </w:p>
    <w:p w:rsidR="0092158E" w:rsidRPr="0025722F" w:rsidRDefault="0092158E" w:rsidP="0092158E">
      <w:pPr>
        <w:ind w:firstLine="567"/>
        <w:jc w:val="both"/>
        <w:rPr>
          <w:lang w:val="uk-UA"/>
        </w:rPr>
      </w:pPr>
      <w:r w:rsidRPr="0025722F">
        <w:rPr>
          <w:lang w:val="uk-UA"/>
        </w:rPr>
        <w:t>Основними завданнями Програми є створення комунікативного та комфортного молодіжного простору для всебічного розвитку особистості в поєднанні двох функціональних компонентів, а саме – фізичної активності у просторі вуличних культур «Дружба» та неформальної громадської освіти у просторі «Дружба HUB» в ЛКП «Кінотеатр «Дружба», що сприятиме творчому, інтелектуальному, спортивному розвитку молоді нашого міста та регіону.</w:t>
      </w:r>
    </w:p>
    <w:p w:rsidR="0092158E" w:rsidRPr="0025722F" w:rsidRDefault="0092158E" w:rsidP="0092158E">
      <w:pPr>
        <w:ind w:firstLine="567"/>
        <w:jc w:val="both"/>
        <w:rPr>
          <w:lang w:val="uk-UA"/>
        </w:rPr>
      </w:pPr>
      <w:r w:rsidRPr="0025722F">
        <w:rPr>
          <w:lang w:val="uk-UA"/>
        </w:rPr>
        <w:t xml:space="preserve">Відповідно до Програми обсяг фінансування Центру складає 482,8 тис. грн.: за рахунок місцевого бюджету - 230 тис. грн. (введення додаткових двох ставок адміністраторів та оплата витрат за енергоносії), інші кошти (гранти, проекти, інвестиції) - 252,8 тис. грн. (придбання опалювального обладнання БІЛЮКС Україна, меблів для роботи на комп’ютерах, тенісного столу, дошки для </w:t>
      </w:r>
      <w:proofErr w:type="spellStart"/>
      <w:r w:rsidRPr="0025722F">
        <w:rPr>
          <w:lang w:val="uk-UA"/>
        </w:rPr>
        <w:t>Дартсу</w:t>
      </w:r>
      <w:proofErr w:type="spellEnd"/>
      <w:r w:rsidRPr="0025722F">
        <w:rPr>
          <w:lang w:val="uk-UA"/>
        </w:rPr>
        <w:t xml:space="preserve">, музичного синтезатору, проведення регіональних змагань з ВМХ, </w:t>
      </w:r>
      <w:proofErr w:type="spellStart"/>
      <w:r w:rsidRPr="0025722F">
        <w:rPr>
          <w:lang w:val="uk-UA"/>
        </w:rPr>
        <w:t>скейту</w:t>
      </w:r>
      <w:proofErr w:type="spellEnd"/>
      <w:r w:rsidRPr="0025722F">
        <w:rPr>
          <w:lang w:val="uk-UA"/>
        </w:rPr>
        <w:t>, самокату,</w:t>
      </w:r>
      <w:proofErr w:type="spellStart"/>
      <w:r w:rsidRPr="0025722F">
        <w:rPr>
          <w:lang w:val="uk-UA"/>
        </w:rPr>
        <w:t>стрітболу</w:t>
      </w:r>
      <w:proofErr w:type="spellEnd"/>
      <w:r w:rsidRPr="0025722F">
        <w:rPr>
          <w:lang w:val="uk-UA"/>
        </w:rPr>
        <w:t xml:space="preserve"> (баскетбол 3х3), пани (вуличний футбол), </w:t>
      </w:r>
      <w:proofErr w:type="spellStart"/>
      <w:r w:rsidRPr="0025722F">
        <w:rPr>
          <w:lang w:val="uk-UA"/>
        </w:rPr>
        <w:t>брейк-дансу</w:t>
      </w:r>
      <w:proofErr w:type="spellEnd"/>
      <w:r w:rsidRPr="0025722F">
        <w:rPr>
          <w:lang w:val="uk-UA"/>
        </w:rPr>
        <w:t xml:space="preserve">, проведення Фестивалю </w:t>
      </w:r>
      <w:proofErr w:type="spellStart"/>
      <w:r w:rsidRPr="0025722F">
        <w:rPr>
          <w:lang w:val="uk-UA"/>
        </w:rPr>
        <w:t>урбан</w:t>
      </w:r>
      <w:proofErr w:type="spellEnd"/>
      <w:r w:rsidRPr="0025722F">
        <w:rPr>
          <w:lang w:val="uk-UA"/>
        </w:rPr>
        <w:t xml:space="preserve"> культур, придбання та установка </w:t>
      </w:r>
      <w:proofErr w:type="spellStart"/>
      <w:r w:rsidRPr="0025722F">
        <w:rPr>
          <w:lang w:val="uk-UA"/>
        </w:rPr>
        <w:t>металопластикових</w:t>
      </w:r>
      <w:proofErr w:type="spellEnd"/>
      <w:r w:rsidRPr="0025722F">
        <w:rPr>
          <w:lang w:val="uk-UA"/>
        </w:rPr>
        <w:t xml:space="preserve"> вхідних дверей).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lastRenderedPageBreak/>
        <w:t>В рамках реалізації національно-патріотичного виховання молоді в місті налагоджено ефективну міжвідомчу взаємодію органів місцевого самоврядування та співпрацю з громадськими організаціями з питань національно-патріотичного виховання молоді. Також у Лисичанську діють: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1) міська громадська дитяча організація «ДОЛЯ» - координатор міських колективно-творчих справ, організатор участі школярів у всіх міських заходах;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2) на базі КЗ «ЛСШ № 27» діє військово-патріотичний клуб «Сокіл»;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3) 24.10.2018 – створена міська молодіжна рада при Лисичанській міській раді.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Згідно плану роботи у вищих навчальних закладах І-ІІ рівнів акредитації, професійних ліцеях та навчальних закладах загальної середньої освіти були відзначенні національні свята та пам’ятні дати, зокрема День захисника України, День Гідності і Свободи, День Збройних Сил України, День Соборності України, День Української писемності та мови тощо. </w:t>
      </w:r>
      <w:r>
        <w:rPr>
          <w:lang w:val="uk-UA"/>
        </w:rPr>
        <w:t>Також</w:t>
      </w:r>
      <w:r w:rsidRPr="00EF7E54">
        <w:rPr>
          <w:lang w:val="uk-UA"/>
        </w:rPr>
        <w:t xml:space="preserve"> організовувалися семінари, круглі столи; проводились військово-спортивні змагання, конкурси творів образотворчого мистецтва; вшановували сучасних героїв-захисників України, пам'ять загиблих за свободу, єдність та незалежність українського народу. В усіх навчальних закладах поновлені куточки Державної символіки та створені нові куточки, присвячені подіям Революції Гідності, воїнам АТО, створено інформаційні стенди «Героїв Небесної Сотні.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Налагоджена співпраця з учасниками АТО, батальйонами, військовослужбовцями, які дислокуються у місті, та волонтерами організації «Від серця до серця. </w:t>
      </w:r>
      <w:r w:rsidRPr="003D1648">
        <w:rPr>
          <w:lang w:val="uk-UA"/>
        </w:rPr>
        <w:t>Постійною також є робота з громадськими об’єднаннями патріотичного спрямування. Прикладом такої роботи є співпраця ГО «Сприяння розвитку Лисичанська», ГО «Схід та Захід разом», організації «Червоний хрест». Благодійна діяльність окремих шкіл пов’язана з роботою волонтерів міста.</w:t>
      </w:r>
      <w:r>
        <w:rPr>
          <w:lang w:val="uk-UA"/>
        </w:rPr>
        <w:t xml:space="preserve"> </w:t>
      </w:r>
      <w:r w:rsidRPr="00EF7E54">
        <w:rPr>
          <w:lang w:val="uk-UA"/>
        </w:rPr>
        <w:t>Для участі у шкільних, студентських та міських заходах у складі журі конкурсів та спортивних змагань запрошуються представники Лисичанського міського військового комісаріату, Лисичанського Загону прикордонної служби України, представники громадської організації «Луганська обласна спілка ветеранів АТО».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У 2018 році в місті відбулись заходи в рамках Всеукраїнської дитячо-юнацької військово-патріотичної гри «Сокіл» («Джура»). В рамках Гри протягом року проведено низку заходів національно-патріотичного спрямування: «Конкурс-презентація роїв «Ватра. «Слава героям!», міський фестиваль «Козацькій славі жити у віках», інтелектуальна гра «Відун», соціальний проект «Добре діло», фізкультурно-патріотичний фестиваль «Козацький гарт», стрілецький турнір «Кубок «Сокола», фінальне таборування роїв. На обласному етапі місто гідно представила команда КЗ «ЛЗОШ №7».</w:t>
      </w:r>
    </w:p>
    <w:p w:rsidR="0092158E" w:rsidRPr="00516B39" w:rsidRDefault="0092158E" w:rsidP="0092158E">
      <w:pPr>
        <w:ind w:firstLine="567"/>
        <w:jc w:val="both"/>
        <w:rPr>
          <w:lang w:val="uk-UA"/>
        </w:rPr>
      </w:pPr>
      <w:r w:rsidRPr="00516B39">
        <w:rPr>
          <w:lang w:val="uk-UA"/>
        </w:rPr>
        <w:t>З метою формування ціннісних орієнтирів та утвердження національно-патріотичної свідомості дітей та молоді, популяризації національної духовно — культурної спадщини, ушанування героїв боротьби українського народу за незалежність і територіальну цілісність України та підвищення рівня знань про видатних особистостей українського державотворення проводяться різноманітні заходи національно-патріотичного спрямування:</w:t>
      </w:r>
    </w:p>
    <w:p w:rsidR="0092158E" w:rsidRPr="00516B39" w:rsidRDefault="0092158E" w:rsidP="0092158E">
      <w:pPr>
        <w:ind w:firstLine="567"/>
        <w:jc w:val="both"/>
        <w:rPr>
          <w:lang w:val="uk-UA"/>
        </w:rPr>
      </w:pPr>
      <w:r w:rsidRPr="00516B39">
        <w:rPr>
          <w:lang w:val="uk-UA"/>
        </w:rPr>
        <w:lastRenderedPageBreak/>
        <w:t>12.10.2018 — делегація м. Лисичанська прийняла участь в урочистому відкритті Всеукраїнської акції «Покрова Героїв» (м. Сєвєродонецьк);</w:t>
      </w:r>
    </w:p>
    <w:p w:rsidR="0092158E" w:rsidRPr="00516B39" w:rsidRDefault="0092158E" w:rsidP="0092158E">
      <w:pPr>
        <w:ind w:firstLine="567"/>
        <w:jc w:val="both"/>
        <w:rPr>
          <w:lang w:val="uk-UA"/>
        </w:rPr>
      </w:pPr>
      <w:r w:rsidRPr="00516B39">
        <w:rPr>
          <w:lang w:val="uk-UA"/>
        </w:rPr>
        <w:t>12.10.2018 — загальноміська урочиста святкова програма до Дня захисника України;</w:t>
      </w:r>
    </w:p>
    <w:p w:rsidR="0092158E" w:rsidRPr="00516B39" w:rsidRDefault="0092158E" w:rsidP="0092158E">
      <w:pPr>
        <w:ind w:firstLine="567"/>
        <w:jc w:val="both"/>
        <w:rPr>
          <w:lang w:val="uk-UA"/>
        </w:rPr>
      </w:pPr>
      <w:r w:rsidRPr="00516B39">
        <w:rPr>
          <w:lang w:val="uk-UA"/>
        </w:rPr>
        <w:t>17.10.2018 — міське спортивне свято «</w:t>
      </w:r>
      <w:proofErr w:type="spellStart"/>
      <w:r w:rsidRPr="00516B39">
        <w:rPr>
          <w:lang w:val="uk-UA"/>
        </w:rPr>
        <w:t>Суперкозак</w:t>
      </w:r>
      <w:proofErr w:type="spellEnd"/>
      <w:r w:rsidRPr="00516B39">
        <w:rPr>
          <w:lang w:val="uk-UA"/>
        </w:rPr>
        <w:t xml:space="preserve"> — 2018» до Дня захисника України.</w:t>
      </w:r>
    </w:p>
    <w:p w:rsidR="0092158E" w:rsidRPr="00516B39" w:rsidRDefault="0092158E" w:rsidP="0092158E">
      <w:pPr>
        <w:ind w:firstLine="567"/>
        <w:jc w:val="both"/>
        <w:rPr>
          <w:lang w:val="uk-UA"/>
        </w:rPr>
      </w:pPr>
      <w:r w:rsidRPr="00516B39">
        <w:rPr>
          <w:lang w:val="uk-UA"/>
        </w:rPr>
        <w:t>До відзначення Дня захисника України у вищих навчальних закладах І-ІІ акредитації та професійних ліцеях були проведені урочисті концерти, фестивалі патріотичної пісні «Україна — це ми», спортивні змагання «Козацькі розваги», студенти ВП «Лисичанський педагогічний коледж» провели виїзну акцію до службовців батальйону «Тернопіль».</w:t>
      </w:r>
    </w:p>
    <w:p w:rsidR="0092158E" w:rsidRPr="00516B39" w:rsidRDefault="0092158E" w:rsidP="0092158E">
      <w:pPr>
        <w:ind w:firstLine="567"/>
        <w:jc w:val="both"/>
        <w:rPr>
          <w:lang w:val="uk-UA"/>
        </w:rPr>
      </w:pPr>
      <w:r w:rsidRPr="00516B39">
        <w:rPr>
          <w:lang w:val="uk-UA"/>
        </w:rPr>
        <w:t>До відзначення Дня Збройних сил України у вищих навчальних закладах І-ІІ рівнів акредитації та професійних ліцеях були організовані урочисті заходи та святкові концентри.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З метою створення сприятливого середовища для забезпечення профорієнтаційної роботи з молоддю міста Лисичанськ, її орієнтації на вибір професій, актуальних на ринку праці, студентська молодь приймає участь у конкурсах, виставках, ярмарках вакансій, семінарах та конференціях: 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- командний Профорієнтаційних </w:t>
      </w:r>
      <w:proofErr w:type="spellStart"/>
      <w:r w:rsidRPr="00EF7E54">
        <w:rPr>
          <w:lang w:val="uk-UA"/>
        </w:rPr>
        <w:t>квест</w:t>
      </w:r>
      <w:proofErr w:type="spellEnd"/>
      <w:r w:rsidRPr="00EF7E54">
        <w:rPr>
          <w:lang w:val="uk-UA"/>
        </w:rPr>
        <w:t xml:space="preserve"> «8 чудес Лисичанського державного гірничо-індустріального коледжу» (спільно з Лисичанським міським Центром зайнятості);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- щорічний </w:t>
      </w:r>
      <w:proofErr w:type="spellStart"/>
      <w:r w:rsidRPr="00EF7E54">
        <w:rPr>
          <w:lang w:val="uk-UA"/>
        </w:rPr>
        <w:t>профорієтаційний</w:t>
      </w:r>
      <w:proofErr w:type="spellEnd"/>
      <w:r w:rsidRPr="00EF7E54">
        <w:rPr>
          <w:lang w:val="uk-UA"/>
        </w:rPr>
        <w:t xml:space="preserve"> захід «Марафон професій» (спільно з Лисичанським міським Центром зайнятості);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 конкурс фахової майстерності «Кращий фельдшер2018», «Краща медсестра 2018» (Лисичанський медичний коледж);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 І заняття школи передового прогресивного досвіду з теми: «Впровадження сучасних виробничих технологій у кондитерському мистецтві» (спільно з НМЦ ПТО у Луганській області);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 серія тренінгів для студентів вищих навчальних закладів І-ІІ рівнів акредитації та професійних ліцеїв міста в рамках проекту USAID «Трансформація фінансового сектору»;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- профорієнтаційний захід «Професійна палітра» (сумісно з </w:t>
      </w:r>
      <w:proofErr w:type="spellStart"/>
      <w:r w:rsidRPr="00EF7E54">
        <w:rPr>
          <w:lang w:val="uk-UA"/>
        </w:rPr>
        <w:t>Сєвєродонецьким</w:t>
      </w:r>
      <w:proofErr w:type="spellEnd"/>
      <w:r w:rsidRPr="00EF7E54">
        <w:rPr>
          <w:lang w:val="uk-UA"/>
        </w:rPr>
        <w:t xml:space="preserve"> хіміко-механічним технікумом);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– загальноміський захід «Ярмарок кар’єри»;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 ІІІ етап Всеукраїнського конкурсу фахової майстерності серед учнів закладів професійної (професійно-технічної) освіти з професії «Кравець»;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- XХ Всеукраїнський конкурс фахової майстерності студентів вищих медичних навчальних закладів І-ІІ рівнів акредитації за спеціальністю “Сестринська справа” “ЕСКУЛАП” (ВНЗ «Київський медичний коледж імені П.І. </w:t>
      </w:r>
      <w:proofErr w:type="spellStart"/>
      <w:r w:rsidRPr="00EF7E54">
        <w:rPr>
          <w:lang w:val="uk-UA"/>
        </w:rPr>
        <w:t>Гаврося</w:t>
      </w:r>
      <w:proofErr w:type="spellEnd"/>
      <w:r w:rsidRPr="00EF7E54">
        <w:rPr>
          <w:lang w:val="uk-UA"/>
        </w:rPr>
        <w:t>»).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З метою налагодження механізмів співпраці з представниками роботодавців, спрямованих на забезпечення зайнятості молоді, згідно планів навчання, студенти міста проходили виробничу переддипломну практику н</w:t>
      </w:r>
      <w:r>
        <w:rPr>
          <w:lang w:val="uk-UA"/>
        </w:rPr>
        <w:t xml:space="preserve">а платній та безоплатній основі </w:t>
      </w:r>
      <w:r w:rsidRPr="00EF7E54">
        <w:rPr>
          <w:lang w:val="uk-UA"/>
        </w:rPr>
        <w:t>на базі лікувальних закладів міст Лисичанська, Сєвєродонецька та постійна співпраця з ГО «Лисичанськ Громада» товариство «Червоний хрест України»;</w:t>
      </w:r>
      <w:r>
        <w:rPr>
          <w:lang w:val="uk-UA"/>
        </w:rPr>
        <w:t xml:space="preserve"> </w:t>
      </w:r>
      <w:r w:rsidRPr="00EF7E54">
        <w:rPr>
          <w:lang w:val="uk-UA"/>
        </w:rPr>
        <w:t xml:space="preserve">в загальноосвітніх школах та пришкільних літніх </w:t>
      </w:r>
      <w:r w:rsidRPr="00EF7E54">
        <w:rPr>
          <w:lang w:val="uk-UA"/>
        </w:rPr>
        <w:lastRenderedPageBreak/>
        <w:t>мовних таборах м. Лисичанська, КУ «ЗЗОВ «Мрія», м. Кремінна;</w:t>
      </w:r>
      <w:r>
        <w:rPr>
          <w:lang w:val="uk-UA"/>
        </w:rPr>
        <w:t xml:space="preserve"> </w:t>
      </w:r>
      <w:r w:rsidRPr="00EF7E54">
        <w:rPr>
          <w:lang w:val="uk-UA"/>
        </w:rPr>
        <w:t>задіяні у сфері обслуговування харчобло</w:t>
      </w:r>
      <w:r>
        <w:rPr>
          <w:lang w:val="uk-UA"/>
        </w:rPr>
        <w:t xml:space="preserve">ків (с. </w:t>
      </w:r>
      <w:proofErr w:type="spellStart"/>
      <w:r>
        <w:rPr>
          <w:lang w:val="uk-UA"/>
        </w:rPr>
        <w:t>Урзуф</w:t>
      </w:r>
      <w:proofErr w:type="spellEnd"/>
      <w:r>
        <w:rPr>
          <w:lang w:val="uk-UA"/>
        </w:rPr>
        <w:t xml:space="preserve">, Донецька обл.), </w:t>
      </w:r>
      <w:r w:rsidRPr="00EF7E54">
        <w:rPr>
          <w:lang w:val="uk-UA"/>
        </w:rPr>
        <w:t>підприємців та ФОП м. Лисичанська;</w:t>
      </w:r>
      <w:r>
        <w:rPr>
          <w:lang w:val="uk-UA"/>
        </w:rPr>
        <w:t xml:space="preserve"> </w:t>
      </w:r>
      <w:r w:rsidRPr="00EF7E54">
        <w:rPr>
          <w:lang w:val="uk-UA"/>
        </w:rPr>
        <w:t>на підприємствах міста Лисичанськ.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Загальна кількість студентів, які проходили виробничу практику впродовж звітного року становить 1596 студентів.</w:t>
      </w:r>
    </w:p>
    <w:p w:rsidR="0092158E" w:rsidRPr="00516B39" w:rsidRDefault="0092158E" w:rsidP="0092158E">
      <w:pPr>
        <w:ind w:firstLine="567"/>
        <w:jc w:val="both"/>
      </w:pPr>
      <w:r w:rsidRPr="00516B39">
        <w:rPr>
          <w:lang w:val="uk-UA"/>
        </w:rPr>
        <w:t>Підготовлено та розміщено на сайті Лисичанської міської ради 2</w:t>
      </w:r>
      <w:r>
        <w:rPr>
          <w:lang w:val="uk-UA"/>
        </w:rPr>
        <w:t>0</w:t>
      </w:r>
      <w:r w:rsidRPr="00516B39">
        <w:rPr>
          <w:lang w:val="uk-UA"/>
        </w:rPr>
        <w:t xml:space="preserve"> публікацій про молодіжні заходи</w:t>
      </w:r>
      <w:r>
        <w:rPr>
          <w:lang w:val="uk-UA"/>
        </w:rPr>
        <w:t xml:space="preserve">, в тому числі і </w:t>
      </w:r>
      <w:r w:rsidRPr="00516B39">
        <w:rPr>
          <w:lang w:val="uk-UA"/>
        </w:rPr>
        <w:t>національно-патріотичн</w:t>
      </w:r>
      <w:r>
        <w:rPr>
          <w:lang w:val="uk-UA"/>
        </w:rPr>
        <w:t>ого спрямування.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До реалізації Програми </w:t>
      </w:r>
      <w:r w:rsidRPr="00EF7E54">
        <w:rPr>
          <w:lang w:val="uk-UA"/>
        </w:rPr>
        <w:t xml:space="preserve">з питань сімейної політики залучені підрозділи міської ради, заклади та установи міста: відділ у справах сім’ї, молоді та спорту; відділ освіти; відділ культури; відділ з питань внутрішньої політики, зв’язку з громадськістю та ЗМІ; служба у справах дітей; </w:t>
      </w:r>
      <w:r>
        <w:rPr>
          <w:lang w:val="uk-UA"/>
        </w:rPr>
        <w:t>КЗ</w:t>
      </w:r>
      <w:r w:rsidRPr="00EF7E54">
        <w:rPr>
          <w:lang w:val="uk-UA"/>
        </w:rPr>
        <w:t xml:space="preserve"> «Лисичанський міський центр соціальних служб для сім’ї, дітей та молоді».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В рамках підготовки кадрів та підвищення їх кваліфікації спеціалісти відділу приймали участь у обласних та міських семінарах-тренінгах, інших заходах: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>«Захист прав жінок та дітей, що проживають поблизу лінії розмежування»;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 xml:space="preserve">«Покращення доступу уразливих груп населення, зокрема ВПО, до послуг попередження торгівлі людьми та </w:t>
      </w:r>
      <w:proofErr w:type="spellStart"/>
      <w:r w:rsidRPr="00EF7E54">
        <w:rPr>
          <w:lang w:val="uk-UA"/>
        </w:rPr>
        <w:t>скрінінгу</w:t>
      </w:r>
      <w:proofErr w:type="spellEnd"/>
      <w:r w:rsidRPr="00EF7E54">
        <w:rPr>
          <w:lang w:val="uk-UA"/>
        </w:rPr>
        <w:t xml:space="preserve"> в Луганській області»;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>«Рівність заради безпеки» за темою: «Локалізація НПД 1325: комунікації та ефективне планування» з виконання резолюції Ради Безпеки ООН 1325 «Жінки, мир, безпека» - 2020;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>«Особливості та проблематика міжвідомчої взаємодії суб’єктів, що здійснюють заходи у сфері запобігання та протидії домашньому насильству і насильству за ознакою статі»;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>«</w:t>
      </w:r>
      <w:proofErr w:type="spellStart"/>
      <w:r w:rsidRPr="00EF7E54">
        <w:rPr>
          <w:lang w:val="uk-UA"/>
        </w:rPr>
        <w:t>Булінг</w:t>
      </w:r>
      <w:proofErr w:type="spellEnd"/>
      <w:r w:rsidRPr="00EF7E54">
        <w:rPr>
          <w:lang w:val="uk-UA"/>
        </w:rPr>
        <w:t xml:space="preserve"> та насильство в дитячому та молодіжному середовищі»;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>«Механізм захисту прав жінок та дітей які проживають поблизу лінії розмежування»;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EF7E54">
        <w:rPr>
          <w:lang w:val="uk-UA"/>
        </w:rPr>
        <w:t>«Запобігання насильству стосовно жінок і домашньому насильству»;</w:t>
      </w:r>
    </w:p>
    <w:p w:rsidR="0092158E" w:rsidRPr="00EF7E54" w:rsidRDefault="0092158E" w:rsidP="0092158E">
      <w:pPr>
        <w:ind w:firstLine="567"/>
        <w:rPr>
          <w:lang w:val="uk-UA"/>
        </w:rPr>
      </w:pPr>
      <w:r>
        <w:rPr>
          <w:lang w:val="uk-UA"/>
        </w:rPr>
        <w:t>-</w:t>
      </w:r>
      <w:r w:rsidRPr="00EF7E54">
        <w:rPr>
          <w:lang w:val="uk-UA"/>
        </w:rPr>
        <w:t xml:space="preserve"> «Протидія торгівлі людьми ідентифікація постраждалих та робота з ними».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Протягом 2018 року були проведені соціально-профілактичні роботи, спрямовані на: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</w:t>
      </w:r>
      <w:r w:rsidRPr="00EF7E54">
        <w:rPr>
          <w:lang w:val="uk-UA"/>
        </w:rPr>
        <w:tab/>
        <w:t>запобігання потраплянню в складні життєві обставини сімей, дітей та молоді;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>-</w:t>
      </w:r>
      <w:r w:rsidRPr="00EF7E54">
        <w:rPr>
          <w:lang w:val="uk-UA"/>
        </w:rPr>
        <w:tab/>
        <w:t>виявлення сімей, дітей та молоді, які перебувають у складних життєвих обставинах і потребують сторонньої допомоги.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EF7E54">
        <w:rPr>
          <w:lang w:val="uk-UA"/>
        </w:rPr>
        <w:t xml:space="preserve">Відповідно до чинного законодавства України з'явились нові напрямки та форми роботи відділу щодо реалізації державної сімейної політики. Зокрема, це - попередження насильства в сім’ї, торгівлі людьми, забезпечення рівних прав та можливостей чоловіків та жінок. Розпорядженням Лисичанського міського голови від 19.11.2018 № 418 «Про визначення координатора та відповідальних працівників у сфері запобігання та протидії домашньому насильству і насильству за ознакою статі у містах Лисичанську, </w:t>
      </w:r>
      <w:proofErr w:type="spellStart"/>
      <w:r w:rsidRPr="00EF7E54">
        <w:rPr>
          <w:lang w:val="uk-UA"/>
        </w:rPr>
        <w:t>Новодружеську</w:t>
      </w:r>
      <w:proofErr w:type="spellEnd"/>
      <w:r w:rsidRPr="00EF7E54">
        <w:rPr>
          <w:lang w:val="uk-UA"/>
        </w:rPr>
        <w:t xml:space="preserve">, Привіллі» визначені координатор з питань здійснення заходів у сфері запобігання та </w:t>
      </w:r>
      <w:r w:rsidRPr="00EF7E54">
        <w:rPr>
          <w:lang w:val="uk-UA"/>
        </w:rPr>
        <w:lastRenderedPageBreak/>
        <w:t>протидії домашньому насильству і насильству за ознакою статі та відповідальні працівники структурних підрозділів, закладів та установ міста, які проводять роботу з прийому та реєстрації заяв, повідомлень про вчинення насильства.</w:t>
      </w:r>
    </w:p>
    <w:p w:rsidR="0092158E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E54">
        <w:rPr>
          <w:sz w:val="28"/>
          <w:szCs w:val="28"/>
        </w:rPr>
        <w:t>За інформацією Лисичанського ВП ГУНП в Луганській області у 2018 році кількість звернень щодо насильства в сім’ї складає - 844, з них надійшло від дітей - 3, жінок - 706, чоловіків - 135. Кількість осіб, які перебувають на обліку з приводу вчинення насильства в сім’ї - 167.</w:t>
      </w:r>
    </w:p>
    <w:p w:rsidR="0092158E" w:rsidRPr="00CB1766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З метою попередження насильства в сім’ї та поза її межами, протидії торгівлі людьми, навчальні заклади міста, заклади культури Лисичанської міської ради систематично проводились заходи (виховні години, </w:t>
      </w:r>
      <w:proofErr w:type="spellStart"/>
      <w:r w:rsidRPr="00CB1766">
        <w:rPr>
          <w:sz w:val="28"/>
          <w:szCs w:val="28"/>
        </w:rPr>
        <w:t>психолого-соціальні</w:t>
      </w:r>
      <w:proofErr w:type="spellEnd"/>
      <w:r w:rsidRPr="00CB1766">
        <w:rPr>
          <w:sz w:val="28"/>
          <w:szCs w:val="28"/>
        </w:rPr>
        <w:t xml:space="preserve"> ігри, перегляди та обговорення фільмів, виставки літератури, створення соціальної реклами з попередження насильства в сім’ї). Серед населення міста розпов</w:t>
      </w:r>
      <w:r>
        <w:rPr>
          <w:sz w:val="28"/>
          <w:szCs w:val="28"/>
        </w:rPr>
        <w:t>сюджувались листівки та брошури</w:t>
      </w:r>
      <w:r w:rsidRPr="00CB1766">
        <w:rPr>
          <w:sz w:val="28"/>
          <w:szCs w:val="28"/>
        </w:rPr>
        <w:t xml:space="preserve"> «Особистий план безпеки», «Шлях до ґендерної рівності», «Насильство-це сміття, яке треба виносити з дому!», соціальні плакати  «10 важливих принципів надання послуг жінкам, які постраждали внаслідок насильства», «Розірви коло», «Насильству немає виправдання», «Гендерна рівність (конкурс коміксів). </w:t>
      </w:r>
    </w:p>
    <w:p w:rsidR="0092158E" w:rsidRPr="00CB1766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В закладах загальної середньої освіти міста було організовано перегляд відеоролику «Українці в якості </w:t>
      </w:r>
      <w:proofErr w:type="spellStart"/>
      <w:r w:rsidRPr="00CB1766">
        <w:rPr>
          <w:sz w:val="28"/>
          <w:szCs w:val="28"/>
        </w:rPr>
        <w:t>наркокур’єрів</w:t>
      </w:r>
      <w:proofErr w:type="spellEnd"/>
      <w:r w:rsidRPr="00CB1766">
        <w:rPr>
          <w:sz w:val="28"/>
          <w:szCs w:val="28"/>
        </w:rPr>
        <w:t>. Виклики сьогодення». Зазначений від</w:t>
      </w:r>
      <w:r>
        <w:rPr>
          <w:sz w:val="28"/>
          <w:szCs w:val="28"/>
        </w:rPr>
        <w:t xml:space="preserve">еоролик </w:t>
      </w:r>
      <w:r w:rsidRPr="00CB1766">
        <w:rPr>
          <w:sz w:val="28"/>
          <w:szCs w:val="28"/>
        </w:rPr>
        <w:t>розміщено на офіційному сайті Лисичанської міської ради в розділі «</w:t>
      </w:r>
      <w:proofErr w:type="spellStart"/>
      <w:r w:rsidRPr="00CB1766">
        <w:rPr>
          <w:sz w:val="28"/>
          <w:szCs w:val="28"/>
        </w:rPr>
        <w:t>Відеогалерея</w:t>
      </w:r>
      <w:proofErr w:type="spellEnd"/>
      <w:r w:rsidRPr="00CB1766">
        <w:rPr>
          <w:sz w:val="28"/>
          <w:szCs w:val="28"/>
        </w:rPr>
        <w:t>», та на сайтах закладів відділу культури Лисичанської міської ради.</w:t>
      </w:r>
    </w:p>
    <w:p w:rsidR="0092158E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30 липня 2018 року спеціалістами відділу сім’ї, молоді та спорту Лисичанської міської ради та комунального закладу «Лисичанський міський центр соціальних служб для сім’ї, дітей та молоді» у місті було проведено Акцію «Я-не товар. Стоп торгівлі людьми!», яка була висвітлена на сайті. </w:t>
      </w:r>
    </w:p>
    <w:p w:rsidR="0092158E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18 жовтня 2018 року - захід щодо відзначення Європейського дня боротьби з торгівлею люд</w:t>
      </w:r>
      <w:r>
        <w:rPr>
          <w:sz w:val="28"/>
          <w:szCs w:val="28"/>
        </w:rPr>
        <w:t xml:space="preserve">ьми. Акцію з загальним </w:t>
      </w:r>
      <w:proofErr w:type="spellStart"/>
      <w:r>
        <w:rPr>
          <w:sz w:val="28"/>
          <w:szCs w:val="28"/>
        </w:rPr>
        <w:t>хештегом</w:t>
      </w:r>
      <w:proofErr w:type="spellEnd"/>
      <w:r w:rsidRPr="00CB1766">
        <w:rPr>
          <w:sz w:val="28"/>
          <w:szCs w:val="28"/>
        </w:rPr>
        <w:t xml:space="preserve"> #</w:t>
      </w:r>
      <w:proofErr w:type="spellStart"/>
      <w:r w:rsidRPr="00CB1766">
        <w:rPr>
          <w:sz w:val="28"/>
          <w:szCs w:val="28"/>
        </w:rPr>
        <w:t>ПротиДійТоргівліЛюдьми</w:t>
      </w:r>
      <w:proofErr w:type="spellEnd"/>
      <w:r w:rsidRPr="00CB1766">
        <w:rPr>
          <w:sz w:val="28"/>
          <w:szCs w:val="28"/>
        </w:rPr>
        <w:t xml:space="preserve"> проведено студентською спільнотою Лисичанського державного </w:t>
      </w:r>
      <w:proofErr w:type="spellStart"/>
      <w:r w:rsidRPr="00CB1766">
        <w:rPr>
          <w:sz w:val="28"/>
          <w:szCs w:val="28"/>
        </w:rPr>
        <w:t>гірничо</w:t>
      </w:r>
      <w:proofErr w:type="spellEnd"/>
      <w:r w:rsidRPr="00CB1766">
        <w:rPr>
          <w:sz w:val="28"/>
          <w:szCs w:val="28"/>
        </w:rPr>
        <w:t xml:space="preserve"> - індустріального коледжу. До Акції долучилися члени 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  <w:r>
        <w:rPr>
          <w:sz w:val="28"/>
          <w:szCs w:val="28"/>
        </w:rPr>
        <w:t>.</w:t>
      </w:r>
    </w:p>
    <w:p w:rsidR="0092158E" w:rsidRPr="00CB1766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У заході взяли участь близько 100 осіб.</w:t>
      </w:r>
    </w:p>
    <w:p w:rsidR="0092158E" w:rsidRPr="00EF7E54" w:rsidRDefault="0092158E" w:rsidP="0092158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Відбулось засідання «круглого столу» Кола  «</w:t>
      </w:r>
      <w:proofErr w:type="spellStart"/>
      <w:r w:rsidRPr="00CB1766">
        <w:rPr>
          <w:sz w:val="28"/>
          <w:szCs w:val="28"/>
        </w:rPr>
        <w:t>Youth</w:t>
      </w:r>
      <w:proofErr w:type="spellEnd"/>
      <w:r w:rsidRPr="00CB1766">
        <w:rPr>
          <w:sz w:val="28"/>
          <w:szCs w:val="28"/>
        </w:rPr>
        <w:t xml:space="preserve"> </w:t>
      </w:r>
      <w:proofErr w:type="spellStart"/>
      <w:r w:rsidRPr="00CB1766">
        <w:rPr>
          <w:sz w:val="28"/>
          <w:szCs w:val="28"/>
        </w:rPr>
        <w:t>Talks</w:t>
      </w:r>
      <w:proofErr w:type="spellEnd"/>
      <w:r w:rsidRPr="00CB1766">
        <w:rPr>
          <w:sz w:val="28"/>
          <w:szCs w:val="28"/>
        </w:rPr>
        <w:t>» за темою: «</w:t>
      </w:r>
      <w:proofErr w:type="spellStart"/>
      <w:r w:rsidRPr="00CB1766">
        <w:rPr>
          <w:sz w:val="28"/>
          <w:szCs w:val="28"/>
        </w:rPr>
        <w:t>Булінг</w:t>
      </w:r>
      <w:proofErr w:type="spellEnd"/>
      <w:r w:rsidRPr="00CB1766">
        <w:rPr>
          <w:sz w:val="28"/>
          <w:szCs w:val="28"/>
        </w:rPr>
        <w:t xml:space="preserve"> та насильство в дитячо</w:t>
      </w:r>
      <w:r>
        <w:rPr>
          <w:sz w:val="28"/>
          <w:szCs w:val="28"/>
        </w:rPr>
        <w:t xml:space="preserve">му та молодіжному середовищі», </w:t>
      </w:r>
      <w:r w:rsidRPr="00CB1766">
        <w:rPr>
          <w:sz w:val="28"/>
          <w:szCs w:val="28"/>
        </w:rPr>
        <w:t xml:space="preserve">ініційоване студентами та </w:t>
      </w:r>
      <w:proofErr w:type="spellStart"/>
      <w:r w:rsidRPr="00CB1766">
        <w:rPr>
          <w:sz w:val="28"/>
          <w:szCs w:val="28"/>
        </w:rPr>
        <w:t>педколективом</w:t>
      </w:r>
      <w:proofErr w:type="spellEnd"/>
      <w:r w:rsidRPr="00CB1766">
        <w:rPr>
          <w:sz w:val="28"/>
          <w:szCs w:val="28"/>
        </w:rPr>
        <w:t xml:space="preserve"> ВПУ 94</w:t>
      </w:r>
      <w:r>
        <w:rPr>
          <w:sz w:val="28"/>
          <w:szCs w:val="28"/>
        </w:rPr>
        <w:t xml:space="preserve"> під егідою Дитячого фонду ООН </w:t>
      </w:r>
      <w:r w:rsidRPr="00CB1766">
        <w:rPr>
          <w:sz w:val="28"/>
          <w:szCs w:val="28"/>
        </w:rPr>
        <w:t>UNICEF та ГО «</w:t>
      </w:r>
      <w:proofErr w:type="spellStart"/>
      <w:r w:rsidRPr="00CB1766">
        <w:rPr>
          <w:sz w:val="28"/>
          <w:szCs w:val="28"/>
        </w:rPr>
        <w:t>Ла</w:t>
      </w:r>
      <w:proofErr w:type="spellEnd"/>
      <w:r w:rsidRPr="00CB1766">
        <w:rPr>
          <w:sz w:val="28"/>
          <w:szCs w:val="28"/>
        </w:rPr>
        <w:t xml:space="preserve"> </w:t>
      </w:r>
      <w:proofErr w:type="spellStart"/>
      <w:r w:rsidRPr="00CB1766">
        <w:rPr>
          <w:sz w:val="28"/>
          <w:szCs w:val="28"/>
        </w:rPr>
        <w:t>Страда</w:t>
      </w:r>
      <w:proofErr w:type="spellEnd"/>
      <w:r w:rsidRPr="00CB1766">
        <w:rPr>
          <w:sz w:val="28"/>
          <w:szCs w:val="28"/>
        </w:rPr>
        <w:t xml:space="preserve"> -Україна». У засіданні взяли участь члени Координаційної ради з питань сім’ї, ґендерної рівності, демографічного розвитку, запобігання насильству в сім’ї та протидії торгівлі людьми.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 w:rsidRPr="00B931C6">
        <w:rPr>
          <w:lang w:val="uk-UA"/>
        </w:rPr>
        <w:t>З метою створення сприятливих умов для всебічного розвитку багатодітної сім’ї, підвищення її життєвого рівня ві</w:t>
      </w:r>
      <w:r>
        <w:rPr>
          <w:lang w:val="uk-UA"/>
        </w:rPr>
        <w:t xml:space="preserve">дділом сім’ї, молоді та спорту реалізується </w:t>
      </w:r>
      <w:r w:rsidRPr="00B931C6">
        <w:rPr>
          <w:lang w:val="uk-UA"/>
        </w:rPr>
        <w:t>міська Програма щодо підтримки багатодітних родин міст Лисича</w:t>
      </w:r>
      <w:r>
        <w:rPr>
          <w:lang w:val="uk-UA"/>
        </w:rPr>
        <w:t xml:space="preserve">нська, Привілля, Новодружеська - </w:t>
      </w:r>
      <w:r w:rsidRPr="00B931C6">
        <w:rPr>
          <w:lang w:val="uk-UA"/>
        </w:rPr>
        <w:t xml:space="preserve">проводиться робота щодо присвоєння статусу багатодітної родини та видачі  посвідчень багатодітним сім’ям. 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 w:rsidRPr="00B931C6">
        <w:rPr>
          <w:lang w:val="uk-UA"/>
        </w:rPr>
        <w:t xml:space="preserve">Так, за інформацією Управління праці та соціального захисту населення Лисичанської міської ради у 2018 році кількість багатодітних сімей склала на </w:t>
      </w:r>
      <w:r w:rsidRPr="00B931C6">
        <w:rPr>
          <w:lang w:val="uk-UA"/>
        </w:rPr>
        <w:lastRenderedPageBreak/>
        <w:t xml:space="preserve">кінець року – 334, дітей - 1198, у тому числі сімей: 229 - (виховується 3 дітей), 49 - (виховується 4 дітей), 34 - (виховується 5 дітей), 16 - (виховується 6 дітей), 3 - (виховується 7 дітей), 1 - (виховується 8 дітей), 1 - (виховується 9 дітей), 1 - (виховується 10 і більше дітей). Оновлені дані надаються УТСЗН </w:t>
      </w:r>
      <w:proofErr w:type="spellStart"/>
      <w:r w:rsidRPr="00B931C6">
        <w:rPr>
          <w:lang w:val="uk-UA"/>
        </w:rPr>
        <w:t>щопівроку</w:t>
      </w:r>
      <w:proofErr w:type="spellEnd"/>
      <w:r w:rsidRPr="00B931C6">
        <w:rPr>
          <w:lang w:val="uk-UA"/>
        </w:rPr>
        <w:t>.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 w:rsidRPr="00B931C6">
        <w:rPr>
          <w:lang w:val="uk-UA"/>
        </w:rPr>
        <w:t>Протягом 2018 року видано посвідчень батьків багатодітної сім’ї – 149, дитини з багатодітної сім’ї - 316.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 w:rsidRPr="00B931C6">
        <w:rPr>
          <w:lang w:val="uk-UA"/>
        </w:rPr>
        <w:t xml:space="preserve">За інформацією </w:t>
      </w:r>
      <w:r>
        <w:rPr>
          <w:lang w:val="uk-UA"/>
        </w:rPr>
        <w:t>КЗ</w:t>
      </w:r>
      <w:r w:rsidRPr="00B931C6">
        <w:rPr>
          <w:lang w:val="uk-UA"/>
        </w:rPr>
        <w:t xml:space="preserve"> «Лисичанський міський центр  соціальних служб для сім’ї, дітей та молоді» у 2018 році до Центру із різних питань  звернулось 1489 сімей (2103 дорослих членів сімей, 2632 дитини). У ході проведеної роботи було задоволено потреби щодо психологічної допомоги - 354 сім’ї; юридичної допомоги - 1367; налагодження зав’язків з членами родини, громадою - 349; сприяння в оформленні (відновленні документів), у т.ч. для призначення соціальних виплат - 1256. Окрім того отримали послуги із консультування члени 465 сімей, соціальної профілактики - 495; соціальної адаптації - 261; соціальної інтеграції та реінтеграції - 202; соціально-психологічної ре</w:t>
      </w:r>
      <w:r>
        <w:rPr>
          <w:lang w:val="uk-UA"/>
        </w:rPr>
        <w:t xml:space="preserve">абілітації - 35; посередництва </w:t>
      </w:r>
      <w:r w:rsidRPr="00B931C6">
        <w:rPr>
          <w:lang w:val="uk-UA"/>
        </w:rPr>
        <w:t>(медіації) - 21; кризове та екстрене втручання -  33; представництво інтересів -297.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 w:rsidRPr="00B931C6">
        <w:rPr>
          <w:lang w:val="uk-UA"/>
        </w:rPr>
        <w:t>На обліку сімей, які перебувають у складних життєвих обставинах, знаходилось 35 осіб та 565 сімей, в яких виховувалось 1074 дитини. Протягом звітного періоду фахівці із соціальної роботи здійснили 1489 соціальних інспектувань та склали  відповідну кількість оцінок потреб дітей та їх сімей. Протягом звітного періоду 89 сімей з дітьми перебували п</w:t>
      </w:r>
      <w:r>
        <w:rPr>
          <w:lang w:val="uk-UA"/>
        </w:rPr>
        <w:t>ід соціальним</w:t>
      </w:r>
      <w:r w:rsidRPr="00B931C6">
        <w:rPr>
          <w:lang w:val="uk-UA"/>
        </w:rPr>
        <w:t xml:space="preserve"> супроводом.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 w:rsidRPr="00B931C6">
        <w:rPr>
          <w:lang w:val="uk-UA"/>
        </w:rPr>
        <w:t>У спів</w:t>
      </w:r>
      <w:r>
        <w:rPr>
          <w:lang w:val="uk-UA"/>
        </w:rPr>
        <w:t xml:space="preserve">праці </w:t>
      </w:r>
      <w:r w:rsidRPr="00B931C6">
        <w:rPr>
          <w:lang w:val="uk-UA"/>
        </w:rPr>
        <w:t>з МБФ «Ук</w:t>
      </w:r>
      <w:r>
        <w:rPr>
          <w:lang w:val="uk-UA"/>
        </w:rPr>
        <w:t xml:space="preserve">раїнська фундація громадського </w:t>
      </w:r>
      <w:r w:rsidRPr="00B931C6">
        <w:rPr>
          <w:lang w:val="uk-UA"/>
        </w:rPr>
        <w:t>здоров’я» та її мобільною бригадою в рамках</w:t>
      </w:r>
      <w:r>
        <w:rPr>
          <w:lang w:val="uk-UA"/>
        </w:rPr>
        <w:t xml:space="preserve"> реалізації проекту «Посилення </w:t>
      </w:r>
      <w:r w:rsidRPr="00B931C6">
        <w:rPr>
          <w:lang w:val="uk-UA"/>
        </w:rPr>
        <w:t>гуманітарної відповіді на потреб</w:t>
      </w:r>
      <w:r>
        <w:rPr>
          <w:lang w:val="uk-UA"/>
        </w:rPr>
        <w:t xml:space="preserve">и найбільш вразливих категорій </w:t>
      </w:r>
      <w:r w:rsidRPr="00B931C6">
        <w:rPr>
          <w:lang w:val="uk-UA"/>
        </w:rPr>
        <w:t>жінок та дівчат-підлітків в умовах збройного конфлікту на сході України» фахівці центру протягом року здійснили виїзди у 116 сімей, в яких відбулось чи існує загроза насильства. Всього було надано 483 консультації 250 особам з питань насильства в сім’ї, проведено 10 групових інформаційних занять щодо попередження ґендерного насильства</w:t>
      </w:r>
      <w:r>
        <w:rPr>
          <w:lang w:val="uk-UA"/>
        </w:rPr>
        <w:t>.</w:t>
      </w:r>
    </w:p>
    <w:p w:rsidR="0092158E" w:rsidRPr="00B931C6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Пріоритетність </w:t>
      </w:r>
      <w:r w:rsidRPr="00B931C6">
        <w:rPr>
          <w:lang w:val="uk-UA"/>
        </w:rPr>
        <w:t>сім</w:t>
      </w:r>
      <w:r>
        <w:rPr>
          <w:lang w:val="uk-UA"/>
        </w:rPr>
        <w:t xml:space="preserve">ейних цінностей забезпечується </w:t>
      </w:r>
      <w:r w:rsidRPr="00B931C6">
        <w:rPr>
          <w:lang w:val="uk-UA"/>
        </w:rPr>
        <w:t>проведенням просвітницьких заходів за участю представників ГО «Лисичанська міська рада жінок», що опікуються проблемами багатодітних сімей, як «Родина» та «Сім’я». Це і заходи до Дня сім’ї, Дня Матері, Дня Батька, Дня захисту дітей, Дня знань, Новорічних та різдвяних свят та ін.</w:t>
      </w:r>
    </w:p>
    <w:p w:rsidR="0092158E" w:rsidRDefault="0092158E" w:rsidP="0092158E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Відділ у справах сім’ї, </w:t>
      </w:r>
      <w:r w:rsidRPr="00B931C6">
        <w:rPr>
          <w:lang w:val="uk-UA"/>
        </w:rPr>
        <w:t xml:space="preserve">молоді </w:t>
      </w:r>
      <w:r>
        <w:rPr>
          <w:lang w:val="uk-UA"/>
        </w:rPr>
        <w:t xml:space="preserve">та спорту є постійним </w:t>
      </w:r>
      <w:r w:rsidRPr="00B931C6">
        <w:rPr>
          <w:lang w:val="uk-UA"/>
        </w:rPr>
        <w:t>учасником й співорганізатором зустрічей з представниками ГО «</w:t>
      </w:r>
      <w:r>
        <w:rPr>
          <w:lang w:val="uk-UA"/>
        </w:rPr>
        <w:t xml:space="preserve">Лисичанська міська рада жінок» </w:t>
      </w:r>
      <w:r w:rsidRPr="00B931C6">
        <w:rPr>
          <w:lang w:val="uk-UA"/>
        </w:rPr>
        <w:t xml:space="preserve">у напряму розвитку місцевих жіночих ініціатив. </w:t>
      </w:r>
    </w:p>
    <w:p w:rsidR="0092158E" w:rsidRPr="00D71596" w:rsidRDefault="0092158E" w:rsidP="0092158E">
      <w:pPr>
        <w:ind w:firstLine="567"/>
        <w:jc w:val="both"/>
        <w:rPr>
          <w:lang w:val="uk-UA"/>
        </w:rPr>
      </w:pPr>
      <w:r w:rsidRPr="00D71596">
        <w:rPr>
          <w:lang w:val="uk-UA"/>
        </w:rPr>
        <w:t>З метою популяризації національних культурних сімейних традицій і цінностей серед учнів та батьків проводиться просвітницька робота</w:t>
      </w:r>
      <w:r>
        <w:rPr>
          <w:lang w:val="uk-UA"/>
        </w:rPr>
        <w:t>.</w:t>
      </w:r>
      <w:r w:rsidRPr="00D71596">
        <w:rPr>
          <w:lang w:val="uk-UA"/>
        </w:rPr>
        <w:t xml:space="preserve"> Зокрема, родинні свята, тематичні конкурс</w:t>
      </w:r>
      <w:r>
        <w:rPr>
          <w:lang w:val="uk-UA"/>
        </w:rPr>
        <w:t>и</w:t>
      </w:r>
      <w:r w:rsidRPr="00D71596">
        <w:rPr>
          <w:lang w:val="uk-UA"/>
        </w:rPr>
        <w:t xml:space="preserve"> (засідання батьківських клубів «Наша родина», конкурс творів-мініатюр «Родина – мій дім, мій оберіг», цикл бесід «Сім’я -</w:t>
      </w:r>
      <w:r>
        <w:rPr>
          <w:lang w:val="uk-UA"/>
        </w:rPr>
        <w:t xml:space="preserve"> родина</w:t>
      </w:r>
      <w:r w:rsidRPr="00D71596">
        <w:rPr>
          <w:lang w:val="uk-UA"/>
        </w:rPr>
        <w:t xml:space="preserve"> - рід - народ»,</w:t>
      </w:r>
      <w:r>
        <w:rPr>
          <w:lang w:val="uk-UA"/>
        </w:rPr>
        <w:t xml:space="preserve"> години спілкування </w:t>
      </w:r>
      <w:r w:rsidRPr="00D71596">
        <w:rPr>
          <w:lang w:val="uk-UA"/>
        </w:rPr>
        <w:t xml:space="preserve">«Цінуй працю батьків», «Міцна сім’я </w:t>
      </w:r>
      <w:r>
        <w:rPr>
          <w:lang w:val="uk-UA"/>
        </w:rPr>
        <w:t xml:space="preserve">- </w:t>
      </w:r>
      <w:r w:rsidRPr="00D71596">
        <w:rPr>
          <w:lang w:val="uk-UA"/>
        </w:rPr>
        <w:t xml:space="preserve">міцна держава», </w:t>
      </w:r>
      <w:r w:rsidRPr="00D71596">
        <w:rPr>
          <w:noProof/>
          <w:lang w:val="uk-UA"/>
        </w:rPr>
        <w:t xml:space="preserve">конкурс на краще родовідне дерево, </w:t>
      </w:r>
      <w:r>
        <w:rPr>
          <w:lang w:val="uk-UA"/>
        </w:rPr>
        <w:t xml:space="preserve">конкурси </w:t>
      </w:r>
      <w:r w:rsidRPr="00D71596">
        <w:rPr>
          <w:lang w:val="uk-UA"/>
        </w:rPr>
        <w:lastRenderedPageBreak/>
        <w:t>малюнку та фото «Мій клас - моя родина». Організовано і проведено ігротеки «Ігри наших бабусь»).</w:t>
      </w:r>
    </w:p>
    <w:p w:rsidR="0092158E" w:rsidRPr="00D71596" w:rsidRDefault="0092158E" w:rsidP="0092158E">
      <w:pPr>
        <w:ind w:firstLine="567"/>
        <w:jc w:val="both"/>
        <w:rPr>
          <w:lang w:val="uk-UA"/>
        </w:rPr>
      </w:pPr>
      <w:r w:rsidRPr="00D71596">
        <w:rPr>
          <w:lang w:val="uk-UA"/>
        </w:rPr>
        <w:t>У всіх закладах освіти організовано роботу батьківських всеобучів, на засіданнях яких розглядались питання «Здоровий сімейний мікроклімат», «Родинне виховання як необхідність формування особистості», «Психолого-педагогічні особливості виховання молодших школярів», «Спільна робота батьків і вчителів з формування здорового способу життя», «Умова успішного виховання в сім’ї. Стилі виховання. Недопустимість насилля». У закладах систематично проводиться профілактична робота з опікунами, піклувальниками, батьками</w:t>
      </w:r>
      <w:r>
        <w:rPr>
          <w:lang w:val="uk-UA"/>
        </w:rPr>
        <w:t>,</w:t>
      </w:r>
      <w:r w:rsidRPr="00D71596">
        <w:rPr>
          <w:lang w:val="uk-UA"/>
        </w:rPr>
        <w:t xml:space="preserve"> які ухиляються від виконання обов’язків із виховання дітей. Особливо значна увага приділяється дітям з багатодітних родин до Новорічних свят, Міжнародного жіночого дня 8 Березня, Дня матері, Міжнародного дня сім’ї, Дня родини, Дня знань.</w:t>
      </w:r>
    </w:p>
    <w:p w:rsidR="0092158E" w:rsidRPr="00EF7E54" w:rsidRDefault="0092158E" w:rsidP="0092158E">
      <w:pPr>
        <w:ind w:firstLine="567"/>
        <w:jc w:val="both"/>
        <w:rPr>
          <w:lang w:val="uk-UA"/>
        </w:rPr>
      </w:pPr>
      <w:r w:rsidRPr="00646F9E">
        <w:rPr>
          <w:lang w:val="uk-UA"/>
        </w:rPr>
        <w:t xml:space="preserve">На офіційному веб-сайті Лисичанської міської ради систематично розміщувались публікації </w:t>
      </w:r>
      <w:r>
        <w:rPr>
          <w:lang w:val="uk-UA"/>
        </w:rPr>
        <w:t xml:space="preserve">стосовно реалізації заходів сімейної політики в місті Лисичанськ. </w:t>
      </w:r>
      <w:r w:rsidRPr="00646F9E">
        <w:rPr>
          <w:lang w:val="uk-UA"/>
        </w:rPr>
        <w:t>Загалом таких публікацій у 2018 - 6.</w:t>
      </w:r>
    </w:p>
    <w:p w:rsidR="0092158E" w:rsidRPr="00EF7E54" w:rsidRDefault="0092158E" w:rsidP="0092158E">
      <w:pPr>
        <w:jc w:val="both"/>
        <w:rPr>
          <w:lang w:val="uk-UA"/>
        </w:rPr>
      </w:pPr>
    </w:p>
    <w:p w:rsidR="0092158E" w:rsidRPr="00EF7E54" w:rsidRDefault="0092158E" w:rsidP="0092158E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F7E54">
        <w:rPr>
          <w:b/>
          <w:lang w:val="uk-UA"/>
        </w:rPr>
        <w:t>І. ГАНЬШИН</w:t>
      </w:r>
    </w:p>
    <w:p w:rsidR="0092158E" w:rsidRDefault="0092158E" w:rsidP="0092158E">
      <w:pPr>
        <w:ind w:firstLine="567"/>
        <w:jc w:val="both"/>
        <w:rPr>
          <w:lang w:val="uk-UA"/>
        </w:rPr>
      </w:pPr>
    </w:p>
    <w:p w:rsidR="0092158E" w:rsidRPr="00EF7E54" w:rsidRDefault="0092158E" w:rsidP="0092158E">
      <w:pPr>
        <w:ind w:firstLine="567"/>
        <w:jc w:val="both"/>
        <w:rPr>
          <w:lang w:val="uk-UA"/>
        </w:rPr>
      </w:pPr>
    </w:p>
    <w:p w:rsidR="0092158E" w:rsidRPr="00EF321A" w:rsidRDefault="0092158E" w:rsidP="0092158E">
      <w:pPr>
        <w:jc w:val="both"/>
        <w:rPr>
          <w:b/>
          <w:lang w:val="uk-UA"/>
        </w:rPr>
      </w:pPr>
      <w:r w:rsidRPr="00EF321A">
        <w:rPr>
          <w:b/>
          <w:lang w:val="uk-UA"/>
        </w:rPr>
        <w:t>Начальник відділу у справах сім’ї,</w:t>
      </w:r>
    </w:p>
    <w:p w:rsidR="0092158E" w:rsidRPr="00EF321A" w:rsidRDefault="0092158E" w:rsidP="0092158E">
      <w:pPr>
        <w:jc w:val="both"/>
        <w:rPr>
          <w:b/>
          <w:lang w:val="uk-UA"/>
        </w:rPr>
      </w:pPr>
      <w:r w:rsidRPr="00EF321A">
        <w:rPr>
          <w:b/>
          <w:lang w:val="uk-UA"/>
        </w:rPr>
        <w:t>молоді та спорту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Н. НЕЦВЄТ</w:t>
      </w:r>
    </w:p>
    <w:p w:rsidR="0092158E" w:rsidRDefault="0092158E" w:rsidP="0092158E">
      <w:pPr>
        <w:rPr>
          <w:lang w:val="uk-UA"/>
        </w:rPr>
      </w:pPr>
    </w:p>
    <w:p w:rsidR="0092158E" w:rsidRDefault="0092158E" w:rsidP="004626D5">
      <w:pPr>
        <w:rPr>
          <w:lang w:val="uk-UA"/>
        </w:rPr>
      </w:pPr>
    </w:p>
    <w:sectPr w:rsidR="0092158E" w:rsidSect="004626D5">
      <w:headerReference w:type="firs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96" w:rsidRDefault="00D83896" w:rsidP="00433833">
      <w:r>
        <w:separator/>
      </w:r>
    </w:p>
  </w:endnote>
  <w:endnote w:type="continuationSeparator" w:id="0">
    <w:p w:rsidR="00D83896" w:rsidRDefault="00D83896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96" w:rsidRDefault="00D83896" w:rsidP="00433833">
      <w:r>
        <w:separator/>
      </w:r>
    </w:p>
  </w:footnote>
  <w:footnote w:type="continuationSeparator" w:id="0">
    <w:p w:rsidR="00D83896" w:rsidRDefault="00D83896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E" w:rsidRPr="00481C53" w:rsidRDefault="00EE3BFE" w:rsidP="002B01F5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2F"/>
    <w:rsid w:val="000000B4"/>
    <w:rsid w:val="00001841"/>
    <w:rsid w:val="00001F28"/>
    <w:rsid w:val="00004827"/>
    <w:rsid w:val="00005401"/>
    <w:rsid w:val="00010277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23B8C"/>
    <w:rsid w:val="000302AB"/>
    <w:rsid w:val="00032E72"/>
    <w:rsid w:val="000334CC"/>
    <w:rsid w:val="00036110"/>
    <w:rsid w:val="00037B6A"/>
    <w:rsid w:val="00040294"/>
    <w:rsid w:val="0004255A"/>
    <w:rsid w:val="000426F0"/>
    <w:rsid w:val="00045926"/>
    <w:rsid w:val="00045FC7"/>
    <w:rsid w:val="000464B4"/>
    <w:rsid w:val="000464F0"/>
    <w:rsid w:val="00050EC6"/>
    <w:rsid w:val="00050F00"/>
    <w:rsid w:val="00061A57"/>
    <w:rsid w:val="0006533C"/>
    <w:rsid w:val="00065C6B"/>
    <w:rsid w:val="0006710F"/>
    <w:rsid w:val="00067A84"/>
    <w:rsid w:val="000711DC"/>
    <w:rsid w:val="00073D97"/>
    <w:rsid w:val="00073EE2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20C1"/>
    <w:rsid w:val="000A34A0"/>
    <w:rsid w:val="000A4A62"/>
    <w:rsid w:val="000A4CD4"/>
    <w:rsid w:val="000A5776"/>
    <w:rsid w:val="000A6600"/>
    <w:rsid w:val="000B1FDF"/>
    <w:rsid w:val="000B2F48"/>
    <w:rsid w:val="000B68F9"/>
    <w:rsid w:val="000C5905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336C"/>
    <w:rsid w:val="000E3682"/>
    <w:rsid w:val="000E4F5F"/>
    <w:rsid w:val="000E6378"/>
    <w:rsid w:val="000F06E5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10B3"/>
    <w:rsid w:val="00131677"/>
    <w:rsid w:val="00134817"/>
    <w:rsid w:val="00141AAC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6C87"/>
    <w:rsid w:val="00167376"/>
    <w:rsid w:val="001713D9"/>
    <w:rsid w:val="001741BB"/>
    <w:rsid w:val="001741D4"/>
    <w:rsid w:val="001757AD"/>
    <w:rsid w:val="00177323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B568A"/>
    <w:rsid w:val="001C14CB"/>
    <w:rsid w:val="001C2DC2"/>
    <w:rsid w:val="001C3338"/>
    <w:rsid w:val="001C526E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62A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5091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4BDE"/>
    <w:rsid w:val="00245C10"/>
    <w:rsid w:val="00246DEE"/>
    <w:rsid w:val="00250117"/>
    <w:rsid w:val="002517A2"/>
    <w:rsid w:val="00251CAC"/>
    <w:rsid w:val="00254236"/>
    <w:rsid w:val="00256E96"/>
    <w:rsid w:val="0026050C"/>
    <w:rsid w:val="00260937"/>
    <w:rsid w:val="00264836"/>
    <w:rsid w:val="00264869"/>
    <w:rsid w:val="00271F71"/>
    <w:rsid w:val="00272AAE"/>
    <w:rsid w:val="0027484A"/>
    <w:rsid w:val="00275EE7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1BF1"/>
    <w:rsid w:val="002E72CF"/>
    <w:rsid w:val="002F33DE"/>
    <w:rsid w:val="002F37D9"/>
    <w:rsid w:val="002F3F43"/>
    <w:rsid w:val="002F426A"/>
    <w:rsid w:val="00301CDF"/>
    <w:rsid w:val="00306F3A"/>
    <w:rsid w:val="00307E0D"/>
    <w:rsid w:val="00313277"/>
    <w:rsid w:val="00314C76"/>
    <w:rsid w:val="00316287"/>
    <w:rsid w:val="00316876"/>
    <w:rsid w:val="00320BE6"/>
    <w:rsid w:val="003226A4"/>
    <w:rsid w:val="00323EBD"/>
    <w:rsid w:val="0032453D"/>
    <w:rsid w:val="00325ACA"/>
    <w:rsid w:val="00330511"/>
    <w:rsid w:val="00332BF1"/>
    <w:rsid w:val="00333D3D"/>
    <w:rsid w:val="00334136"/>
    <w:rsid w:val="00334289"/>
    <w:rsid w:val="00334606"/>
    <w:rsid w:val="00335AEB"/>
    <w:rsid w:val="00337CF2"/>
    <w:rsid w:val="00343B2F"/>
    <w:rsid w:val="003459B3"/>
    <w:rsid w:val="00352E5B"/>
    <w:rsid w:val="003539A5"/>
    <w:rsid w:val="00353F0E"/>
    <w:rsid w:val="00361E1F"/>
    <w:rsid w:val="00365D14"/>
    <w:rsid w:val="00371F37"/>
    <w:rsid w:val="003722E3"/>
    <w:rsid w:val="003731E0"/>
    <w:rsid w:val="00380B8A"/>
    <w:rsid w:val="00380B90"/>
    <w:rsid w:val="00384C99"/>
    <w:rsid w:val="0038593C"/>
    <w:rsid w:val="00394339"/>
    <w:rsid w:val="0039460F"/>
    <w:rsid w:val="0039505F"/>
    <w:rsid w:val="00397461"/>
    <w:rsid w:val="0039781E"/>
    <w:rsid w:val="003A0316"/>
    <w:rsid w:val="003A17E7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4E8"/>
    <w:rsid w:val="003F4DF5"/>
    <w:rsid w:val="003F4DF8"/>
    <w:rsid w:val="003F6F1F"/>
    <w:rsid w:val="0040084E"/>
    <w:rsid w:val="0040267F"/>
    <w:rsid w:val="00402EC1"/>
    <w:rsid w:val="00403ED5"/>
    <w:rsid w:val="00412EC5"/>
    <w:rsid w:val="00413DED"/>
    <w:rsid w:val="00415145"/>
    <w:rsid w:val="00417297"/>
    <w:rsid w:val="00420A90"/>
    <w:rsid w:val="00423779"/>
    <w:rsid w:val="00426247"/>
    <w:rsid w:val="004267F2"/>
    <w:rsid w:val="00426999"/>
    <w:rsid w:val="00430EEC"/>
    <w:rsid w:val="00431CBA"/>
    <w:rsid w:val="00433833"/>
    <w:rsid w:val="00434AA7"/>
    <w:rsid w:val="004409B8"/>
    <w:rsid w:val="004429CA"/>
    <w:rsid w:val="0044415F"/>
    <w:rsid w:val="00444BB0"/>
    <w:rsid w:val="00450590"/>
    <w:rsid w:val="00450627"/>
    <w:rsid w:val="0045082A"/>
    <w:rsid w:val="004552C7"/>
    <w:rsid w:val="004558CC"/>
    <w:rsid w:val="00456318"/>
    <w:rsid w:val="004626D5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2CB"/>
    <w:rsid w:val="00485346"/>
    <w:rsid w:val="004853BC"/>
    <w:rsid w:val="004859FF"/>
    <w:rsid w:val="00485CA0"/>
    <w:rsid w:val="004954CC"/>
    <w:rsid w:val="004A2103"/>
    <w:rsid w:val="004A5F6D"/>
    <w:rsid w:val="004B1457"/>
    <w:rsid w:val="004B6158"/>
    <w:rsid w:val="004B7A03"/>
    <w:rsid w:val="004C3577"/>
    <w:rsid w:val="004C4ABC"/>
    <w:rsid w:val="004C5AFC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E83"/>
    <w:rsid w:val="004F53C3"/>
    <w:rsid w:val="004F564D"/>
    <w:rsid w:val="005006ED"/>
    <w:rsid w:val="005020F5"/>
    <w:rsid w:val="00502C1D"/>
    <w:rsid w:val="00503F60"/>
    <w:rsid w:val="00506D5A"/>
    <w:rsid w:val="005078D9"/>
    <w:rsid w:val="00511E02"/>
    <w:rsid w:val="005132DF"/>
    <w:rsid w:val="00514A23"/>
    <w:rsid w:val="0051517B"/>
    <w:rsid w:val="0051532E"/>
    <w:rsid w:val="00523E3F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533C"/>
    <w:rsid w:val="0054736F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76E7"/>
    <w:rsid w:val="005A7E52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6C88"/>
    <w:rsid w:val="005C76AE"/>
    <w:rsid w:val="005D09C9"/>
    <w:rsid w:val="005D6C3E"/>
    <w:rsid w:val="005D73E3"/>
    <w:rsid w:val="005E0D84"/>
    <w:rsid w:val="005E26D9"/>
    <w:rsid w:val="005E2D53"/>
    <w:rsid w:val="005E311B"/>
    <w:rsid w:val="005E3208"/>
    <w:rsid w:val="005E7133"/>
    <w:rsid w:val="005E77F6"/>
    <w:rsid w:val="005F0EF2"/>
    <w:rsid w:val="005F4445"/>
    <w:rsid w:val="005F4A92"/>
    <w:rsid w:val="005F5F37"/>
    <w:rsid w:val="005F6E89"/>
    <w:rsid w:val="00600755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4E1"/>
    <w:rsid w:val="00660BB5"/>
    <w:rsid w:val="00663291"/>
    <w:rsid w:val="00665F5A"/>
    <w:rsid w:val="00670C53"/>
    <w:rsid w:val="00671B9F"/>
    <w:rsid w:val="006739EF"/>
    <w:rsid w:val="0067471C"/>
    <w:rsid w:val="00681165"/>
    <w:rsid w:val="006816E8"/>
    <w:rsid w:val="00685018"/>
    <w:rsid w:val="00685AAE"/>
    <w:rsid w:val="006A55C7"/>
    <w:rsid w:val="006B3957"/>
    <w:rsid w:val="006B581B"/>
    <w:rsid w:val="006C038A"/>
    <w:rsid w:val="006C0706"/>
    <w:rsid w:val="006C4264"/>
    <w:rsid w:val="006D0E5E"/>
    <w:rsid w:val="006D2D6C"/>
    <w:rsid w:val="006D5590"/>
    <w:rsid w:val="006E1223"/>
    <w:rsid w:val="006E1300"/>
    <w:rsid w:val="006E200A"/>
    <w:rsid w:val="006E4533"/>
    <w:rsid w:val="006E48B7"/>
    <w:rsid w:val="006E5519"/>
    <w:rsid w:val="006E5AE6"/>
    <w:rsid w:val="006F2DBF"/>
    <w:rsid w:val="006F50FC"/>
    <w:rsid w:val="006F5CB3"/>
    <w:rsid w:val="006F6441"/>
    <w:rsid w:val="006F6919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A9B"/>
    <w:rsid w:val="00750F98"/>
    <w:rsid w:val="00752BB7"/>
    <w:rsid w:val="00752D1C"/>
    <w:rsid w:val="007555E4"/>
    <w:rsid w:val="00760352"/>
    <w:rsid w:val="007625B6"/>
    <w:rsid w:val="00766303"/>
    <w:rsid w:val="00775F3C"/>
    <w:rsid w:val="0077655F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A674D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0CD5"/>
    <w:rsid w:val="0081159B"/>
    <w:rsid w:val="00815B5E"/>
    <w:rsid w:val="00817197"/>
    <w:rsid w:val="008171D1"/>
    <w:rsid w:val="0082098E"/>
    <w:rsid w:val="008258BC"/>
    <w:rsid w:val="00830D0C"/>
    <w:rsid w:val="008311BD"/>
    <w:rsid w:val="008328E9"/>
    <w:rsid w:val="00832D76"/>
    <w:rsid w:val="008343AF"/>
    <w:rsid w:val="0083620B"/>
    <w:rsid w:val="00836952"/>
    <w:rsid w:val="0083730D"/>
    <w:rsid w:val="008479A7"/>
    <w:rsid w:val="00854377"/>
    <w:rsid w:val="0085587F"/>
    <w:rsid w:val="00865A3B"/>
    <w:rsid w:val="008666E6"/>
    <w:rsid w:val="00870C3B"/>
    <w:rsid w:val="00871086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B7474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6258"/>
    <w:rsid w:val="008D7D3A"/>
    <w:rsid w:val="008E0667"/>
    <w:rsid w:val="008E1364"/>
    <w:rsid w:val="008E1430"/>
    <w:rsid w:val="008E7886"/>
    <w:rsid w:val="008F0E07"/>
    <w:rsid w:val="008F5ED3"/>
    <w:rsid w:val="008F5EDF"/>
    <w:rsid w:val="008F7C0C"/>
    <w:rsid w:val="0090013C"/>
    <w:rsid w:val="009001B4"/>
    <w:rsid w:val="009007AF"/>
    <w:rsid w:val="009069AE"/>
    <w:rsid w:val="00907144"/>
    <w:rsid w:val="009077DB"/>
    <w:rsid w:val="00914B7F"/>
    <w:rsid w:val="0092158E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47D5"/>
    <w:rsid w:val="0094696A"/>
    <w:rsid w:val="009508CC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0F81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57BC"/>
    <w:rsid w:val="00986273"/>
    <w:rsid w:val="00986AA5"/>
    <w:rsid w:val="00987C87"/>
    <w:rsid w:val="009904C7"/>
    <w:rsid w:val="009A04AD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37F"/>
    <w:rsid w:val="00A13EAC"/>
    <w:rsid w:val="00A1400B"/>
    <w:rsid w:val="00A1529F"/>
    <w:rsid w:val="00A16AED"/>
    <w:rsid w:val="00A17F26"/>
    <w:rsid w:val="00A21F53"/>
    <w:rsid w:val="00A25354"/>
    <w:rsid w:val="00A259C4"/>
    <w:rsid w:val="00A27E25"/>
    <w:rsid w:val="00A30B0E"/>
    <w:rsid w:val="00A316F6"/>
    <w:rsid w:val="00A3244B"/>
    <w:rsid w:val="00A328AC"/>
    <w:rsid w:val="00A35D70"/>
    <w:rsid w:val="00A36541"/>
    <w:rsid w:val="00A366E0"/>
    <w:rsid w:val="00A40CAB"/>
    <w:rsid w:val="00A42F65"/>
    <w:rsid w:val="00A44588"/>
    <w:rsid w:val="00A470EC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FCE"/>
    <w:rsid w:val="00AC6D47"/>
    <w:rsid w:val="00AC7DB5"/>
    <w:rsid w:val="00AD6529"/>
    <w:rsid w:val="00AD747F"/>
    <w:rsid w:val="00AE3147"/>
    <w:rsid w:val="00AE6363"/>
    <w:rsid w:val="00AE67A2"/>
    <w:rsid w:val="00AE7CC2"/>
    <w:rsid w:val="00AF0015"/>
    <w:rsid w:val="00AF307E"/>
    <w:rsid w:val="00AF5DF2"/>
    <w:rsid w:val="00AF63C7"/>
    <w:rsid w:val="00AF6597"/>
    <w:rsid w:val="00AF7E51"/>
    <w:rsid w:val="00B00BCA"/>
    <w:rsid w:val="00B01B26"/>
    <w:rsid w:val="00B03DB3"/>
    <w:rsid w:val="00B0429D"/>
    <w:rsid w:val="00B066D0"/>
    <w:rsid w:val="00B06F2C"/>
    <w:rsid w:val="00B07CCA"/>
    <w:rsid w:val="00B11475"/>
    <w:rsid w:val="00B12709"/>
    <w:rsid w:val="00B17EB2"/>
    <w:rsid w:val="00B24B2E"/>
    <w:rsid w:val="00B274C8"/>
    <w:rsid w:val="00B27DB1"/>
    <w:rsid w:val="00B3006B"/>
    <w:rsid w:val="00B300B5"/>
    <w:rsid w:val="00B34FF7"/>
    <w:rsid w:val="00B403A0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04AB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6345"/>
    <w:rsid w:val="00BB6584"/>
    <w:rsid w:val="00BC1F13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5CA4"/>
    <w:rsid w:val="00BE61CE"/>
    <w:rsid w:val="00BE7D41"/>
    <w:rsid w:val="00BF0EEB"/>
    <w:rsid w:val="00BF1394"/>
    <w:rsid w:val="00BF13BB"/>
    <w:rsid w:val="00BF3979"/>
    <w:rsid w:val="00BF3FBB"/>
    <w:rsid w:val="00BF62A7"/>
    <w:rsid w:val="00BF75D7"/>
    <w:rsid w:val="00C01243"/>
    <w:rsid w:val="00C03B10"/>
    <w:rsid w:val="00C03E67"/>
    <w:rsid w:val="00C0507C"/>
    <w:rsid w:val="00C05692"/>
    <w:rsid w:val="00C12B05"/>
    <w:rsid w:val="00C15324"/>
    <w:rsid w:val="00C22A3B"/>
    <w:rsid w:val="00C24A0C"/>
    <w:rsid w:val="00C3009A"/>
    <w:rsid w:val="00C3217D"/>
    <w:rsid w:val="00C3410C"/>
    <w:rsid w:val="00C35DEA"/>
    <w:rsid w:val="00C37F9C"/>
    <w:rsid w:val="00C425C1"/>
    <w:rsid w:val="00C43940"/>
    <w:rsid w:val="00C45B53"/>
    <w:rsid w:val="00C46330"/>
    <w:rsid w:val="00C465D1"/>
    <w:rsid w:val="00C46A20"/>
    <w:rsid w:val="00C51EB5"/>
    <w:rsid w:val="00C533C0"/>
    <w:rsid w:val="00C54105"/>
    <w:rsid w:val="00C54DC0"/>
    <w:rsid w:val="00C60B05"/>
    <w:rsid w:val="00C633C9"/>
    <w:rsid w:val="00C63706"/>
    <w:rsid w:val="00C65E51"/>
    <w:rsid w:val="00C668BB"/>
    <w:rsid w:val="00C66A1D"/>
    <w:rsid w:val="00C6786C"/>
    <w:rsid w:val="00C7033E"/>
    <w:rsid w:val="00C71C01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1E61"/>
    <w:rsid w:val="00CA2387"/>
    <w:rsid w:val="00CA3EEE"/>
    <w:rsid w:val="00CA70B9"/>
    <w:rsid w:val="00CB14CA"/>
    <w:rsid w:val="00CB22DF"/>
    <w:rsid w:val="00CC1406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F0C2F"/>
    <w:rsid w:val="00CF26B6"/>
    <w:rsid w:val="00CF314A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3896"/>
    <w:rsid w:val="00D85695"/>
    <w:rsid w:val="00D90D0E"/>
    <w:rsid w:val="00D927FC"/>
    <w:rsid w:val="00D93763"/>
    <w:rsid w:val="00D93DD8"/>
    <w:rsid w:val="00D956BD"/>
    <w:rsid w:val="00D95C42"/>
    <w:rsid w:val="00D96C13"/>
    <w:rsid w:val="00DA34F6"/>
    <w:rsid w:val="00DA5560"/>
    <w:rsid w:val="00DB1001"/>
    <w:rsid w:val="00DB27AD"/>
    <w:rsid w:val="00DB29C4"/>
    <w:rsid w:val="00DB34FF"/>
    <w:rsid w:val="00DB36DF"/>
    <w:rsid w:val="00DB3751"/>
    <w:rsid w:val="00DB4AEF"/>
    <w:rsid w:val="00DB6C3D"/>
    <w:rsid w:val="00DB719E"/>
    <w:rsid w:val="00DC462B"/>
    <w:rsid w:val="00DC6CD7"/>
    <w:rsid w:val="00DD1314"/>
    <w:rsid w:val="00DD1367"/>
    <w:rsid w:val="00DD2720"/>
    <w:rsid w:val="00DE1B08"/>
    <w:rsid w:val="00DE30DD"/>
    <w:rsid w:val="00DE4B96"/>
    <w:rsid w:val="00DF1904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15F63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631D7"/>
    <w:rsid w:val="00E63457"/>
    <w:rsid w:val="00E67129"/>
    <w:rsid w:val="00E70D6B"/>
    <w:rsid w:val="00E72471"/>
    <w:rsid w:val="00E75E78"/>
    <w:rsid w:val="00E834B1"/>
    <w:rsid w:val="00E86655"/>
    <w:rsid w:val="00E86B42"/>
    <w:rsid w:val="00E939B4"/>
    <w:rsid w:val="00E95AD0"/>
    <w:rsid w:val="00E96353"/>
    <w:rsid w:val="00E96369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57DF"/>
    <w:rsid w:val="00F25DE2"/>
    <w:rsid w:val="00F3063B"/>
    <w:rsid w:val="00F35690"/>
    <w:rsid w:val="00F41289"/>
    <w:rsid w:val="00F42630"/>
    <w:rsid w:val="00F42920"/>
    <w:rsid w:val="00F44159"/>
    <w:rsid w:val="00F5087C"/>
    <w:rsid w:val="00F527C2"/>
    <w:rsid w:val="00F52EB5"/>
    <w:rsid w:val="00F62ED9"/>
    <w:rsid w:val="00F6528E"/>
    <w:rsid w:val="00F704FD"/>
    <w:rsid w:val="00F71079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3FF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styleId="af1">
    <w:name w:val="Normal (Web)"/>
    <w:basedOn w:val="a"/>
    <w:uiPriority w:val="99"/>
    <w:rsid w:val="00B066D0"/>
    <w:pPr>
      <w:spacing w:before="100" w:beforeAutospacing="1" w:after="100" w:afterAutospacing="1"/>
    </w:pPr>
    <w:rPr>
      <w:rFonts w:eastAsia="Calibri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Настя</cp:lastModifiedBy>
  <cp:revision>22</cp:revision>
  <cp:lastPrinted>2019-05-29T07:40:00Z</cp:lastPrinted>
  <dcterms:created xsi:type="dcterms:W3CDTF">2018-03-23T13:10:00Z</dcterms:created>
  <dcterms:modified xsi:type="dcterms:W3CDTF">2019-06-19T07:37:00Z</dcterms:modified>
</cp:coreProperties>
</file>