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23E5C" w:rsidRPr="002F4F97" w:rsidRDefault="00523E5C" w:rsidP="00523E5C">
      <w:pPr>
        <w:spacing w:after="0" w:line="240" w:lineRule="auto"/>
        <w:ind w:left="5664"/>
        <w:outlineLvl w:val="0"/>
        <w:rPr>
          <w:rFonts w:ascii="Times New Roman" w:hAnsi="Times New Roman"/>
          <w:b/>
          <w:sz w:val="28"/>
          <w:szCs w:val="28"/>
          <w:lang w:val="uk-UA"/>
        </w:rPr>
      </w:pPr>
      <w:r w:rsidRPr="002F4F97">
        <w:rPr>
          <w:rFonts w:ascii="Times New Roman" w:hAnsi="Times New Roman"/>
          <w:b/>
          <w:sz w:val="28"/>
          <w:szCs w:val="28"/>
          <w:lang w:val="uk-UA"/>
        </w:rPr>
        <w:t>Додаток 2</w:t>
      </w:r>
    </w:p>
    <w:p w:rsidR="00523E5C" w:rsidRPr="002F4F97" w:rsidRDefault="00523E5C" w:rsidP="00523E5C">
      <w:pPr>
        <w:spacing w:after="0" w:line="240" w:lineRule="auto"/>
        <w:ind w:left="5664"/>
        <w:rPr>
          <w:rFonts w:ascii="Times New Roman" w:hAnsi="Times New Roman"/>
          <w:b/>
          <w:sz w:val="28"/>
          <w:szCs w:val="28"/>
          <w:lang w:val="uk-UA"/>
        </w:rPr>
      </w:pPr>
      <w:r w:rsidRPr="002F4F97">
        <w:rPr>
          <w:rFonts w:ascii="Times New Roman" w:hAnsi="Times New Roman"/>
          <w:b/>
          <w:sz w:val="28"/>
          <w:szCs w:val="28"/>
          <w:lang w:val="uk-UA"/>
        </w:rPr>
        <w:t>до рішення міської ради</w:t>
      </w:r>
    </w:p>
    <w:p w:rsidR="00523E5C" w:rsidRPr="002F4F97" w:rsidRDefault="00523E5C" w:rsidP="00523E5C">
      <w:pPr>
        <w:spacing w:after="0" w:line="240" w:lineRule="auto"/>
        <w:ind w:left="5664"/>
        <w:rPr>
          <w:rFonts w:ascii="Times New Roman" w:hAnsi="Times New Roman"/>
          <w:b/>
          <w:sz w:val="28"/>
          <w:szCs w:val="28"/>
          <w:lang w:val="uk-UA"/>
        </w:rPr>
      </w:pPr>
      <w:r w:rsidRPr="002F4F97">
        <w:rPr>
          <w:rFonts w:ascii="Times New Roman" w:hAnsi="Times New Roman"/>
          <w:b/>
          <w:sz w:val="28"/>
          <w:szCs w:val="28"/>
          <w:lang w:val="uk-UA"/>
        </w:rPr>
        <w:t xml:space="preserve">від </w:t>
      </w:r>
      <w:r w:rsidRPr="00523E5C">
        <w:rPr>
          <w:rFonts w:ascii="Times New Roman" w:hAnsi="Times New Roman"/>
          <w:b/>
          <w:sz w:val="28"/>
          <w:szCs w:val="28"/>
        </w:rPr>
        <w:t>19</w:t>
      </w:r>
      <w:r>
        <w:rPr>
          <w:rFonts w:ascii="Times New Roman" w:hAnsi="Times New Roman"/>
          <w:b/>
          <w:sz w:val="28"/>
          <w:szCs w:val="28"/>
          <w:lang w:val="uk-UA"/>
        </w:rPr>
        <w:t>.</w:t>
      </w:r>
      <w:r w:rsidRPr="00523E5C">
        <w:rPr>
          <w:rFonts w:ascii="Times New Roman" w:hAnsi="Times New Roman"/>
          <w:b/>
          <w:sz w:val="28"/>
          <w:szCs w:val="28"/>
        </w:rPr>
        <w:t>04</w:t>
      </w:r>
      <w:r>
        <w:rPr>
          <w:rFonts w:ascii="Times New Roman" w:hAnsi="Times New Roman"/>
          <w:b/>
          <w:sz w:val="28"/>
          <w:szCs w:val="28"/>
          <w:lang w:val="uk-UA"/>
        </w:rPr>
        <w:t>.</w:t>
      </w:r>
      <w:r w:rsidRPr="00523E5C">
        <w:rPr>
          <w:rFonts w:ascii="Times New Roman" w:hAnsi="Times New Roman"/>
          <w:b/>
          <w:sz w:val="28"/>
          <w:szCs w:val="28"/>
        </w:rPr>
        <w:t>2019</w:t>
      </w:r>
      <w:r>
        <w:rPr>
          <w:rFonts w:ascii="Times New Roman" w:hAnsi="Times New Roman"/>
          <w:b/>
          <w:sz w:val="28"/>
          <w:szCs w:val="28"/>
          <w:lang w:val="uk-UA"/>
        </w:rPr>
        <w:t xml:space="preserve"> </w:t>
      </w:r>
      <w:r w:rsidRPr="002F4F97">
        <w:rPr>
          <w:rFonts w:ascii="Times New Roman" w:hAnsi="Times New Roman"/>
          <w:b/>
          <w:sz w:val="28"/>
          <w:szCs w:val="28"/>
          <w:lang w:val="uk-UA"/>
        </w:rPr>
        <w:t xml:space="preserve"> №</w:t>
      </w:r>
      <w:r>
        <w:rPr>
          <w:rFonts w:ascii="Times New Roman" w:hAnsi="Times New Roman"/>
          <w:b/>
          <w:sz w:val="28"/>
          <w:szCs w:val="28"/>
          <w:lang w:val="uk-UA"/>
        </w:rPr>
        <w:t>64/933</w:t>
      </w: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bookmarkStart w:id="0" w:name="_GoBack"/>
      <w:bookmarkEnd w:id="0"/>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485B04">
      <w:pPr>
        <w:spacing w:after="0" w:line="240" w:lineRule="auto"/>
        <w:jc w:val="center"/>
        <w:outlineLvl w:val="0"/>
        <w:rPr>
          <w:rFonts w:ascii="Times New Roman" w:hAnsi="Times New Roman"/>
          <w:b/>
          <w:sz w:val="32"/>
          <w:szCs w:val="32"/>
          <w:lang w:val="uk-UA"/>
        </w:rPr>
      </w:pPr>
      <w:r w:rsidRPr="002F4F97">
        <w:rPr>
          <w:rFonts w:ascii="Times New Roman" w:hAnsi="Times New Roman"/>
          <w:b/>
          <w:sz w:val="32"/>
          <w:szCs w:val="32"/>
          <w:lang w:val="uk-UA"/>
        </w:rPr>
        <w:t>ПРОГРАМА</w:t>
      </w:r>
    </w:p>
    <w:p w:rsidR="00497C3E" w:rsidRPr="002F4F97" w:rsidRDefault="00497C3E" w:rsidP="00485B04">
      <w:pPr>
        <w:spacing w:after="0" w:line="240" w:lineRule="auto"/>
        <w:jc w:val="center"/>
        <w:outlineLvl w:val="0"/>
        <w:rPr>
          <w:rFonts w:ascii="Times New Roman" w:hAnsi="Times New Roman"/>
          <w:b/>
          <w:sz w:val="32"/>
          <w:szCs w:val="32"/>
          <w:lang w:val="uk-UA"/>
        </w:rPr>
      </w:pPr>
      <w:r w:rsidRPr="002F4F97">
        <w:rPr>
          <w:rFonts w:ascii="Times New Roman" w:hAnsi="Times New Roman"/>
          <w:b/>
          <w:sz w:val="32"/>
          <w:szCs w:val="32"/>
          <w:lang w:val="uk-UA"/>
        </w:rPr>
        <w:t>ЕКОНОМІЧНОГО І СОЦІАЛЬНОГО РОЗВИТКУ</w:t>
      </w:r>
    </w:p>
    <w:p w:rsidR="00497C3E" w:rsidRPr="002F4F97" w:rsidRDefault="00497C3E" w:rsidP="00485B04">
      <w:pPr>
        <w:spacing w:after="0" w:line="240" w:lineRule="auto"/>
        <w:jc w:val="center"/>
        <w:outlineLvl w:val="0"/>
        <w:rPr>
          <w:rFonts w:ascii="Times New Roman" w:hAnsi="Times New Roman"/>
          <w:b/>
          <w:sz w:val="32"/>
          <w:szCs w:val="32"/>
          <w:lang w:val="uk-UA"/>
        </w:rPr>
      </w:pPr>
      <w:r w:rsidRPr="002F4F97">
        <w:rPr>
          <w:rFonts w:ascii="Times New Roman" w:hAnsi="Times New Roman"/>
          <w:b/>
          <w:sz w:val="32"/>
          <w:szCs w:val="32"/>
          <w:lang w:val="uk-UA"/>
        </w:rPr>
        <w:t>МІСТА ЛИСИЧАНСЬК</w:t>
      </w:r>
    </w:p>
    <w:p w:rsidR="00497C3E" w:rsidRPr="002F4F97" w:rsidRDefault="00497C3E" w:rsidP="00485B04">
      <w:pPr>
        <w:spacing w:after="0" w:line="240" w:lineRule="auto"/>
        <w:jc w:val="center"/>
        <w:outlineLvl w:val="0"/>
        <w:rPr>
          <w:rFonts w:ascii="Times New Roman" w:hAnsi="Times New Roman"/>
          <w:b/>
          <w:sz w:val="32"/>
          <w:szCs w:val="32"/>
          <w:lang w:val="uk-UA"/>
        </w:rPr>
      </w:pPr>
      <w:r w:rsidRPr="002F4F97">
        <w:rPr>
          <w:rFonts w:ascii="Times New Roman" w:hAnsi="Times New Roman"/>
          <w:b/>
          <w:sz w:val="32"/>
          <w:szCs w:val="32"/>
          <w:lang w:val="uk-UA"/>
        </w:rPr>
        <w:t>НА 201</w:t>
      </w:r>
      <w:r>
        <w:rPr>
          <w:rFonts w:ascii="Times New Roman" w:hAnsi="Times New Roman"/>
          <w:b/>
          <w:sz w:val="32"/>
          <w:szCs w:val="32"/>
          <w:lang w:val="uk-UA"/>
        </w:rPr>
        <w:t>9</w:t>
      </w:r>
      <w:r w:rsidRPr="002F4F97">
        <w:rPr>
          <w:rFonts w:ascii="Times New Roman" w:hAnsi="Times New Roman"/>
          <w:b/>
          <w:sz w:val="32"/>
          <w:szCs w:val="32"/>
          <w:lang w:val="uk-UA"/>
        </w:rPr>
        <w:t xml:space="preserve"> РІК</w:t>
      </w: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A97E7B">
      <w:pPr>
        <w:spacing w:after="0" w:line="240" w:lineRule="auto"/>
        <w:jc w:val="center"/>
        <w:rPr>
          <w:rFonts w:ascii="Times New Roman" w:hAnsi="Times New Roman"/>
          <w:b/>
          <w:sz w:val="28"/>
          <w:szCs w:val="28"/>
          <w:lang w:val="uk-UA"/>
        </w:rPr>
      </w:pPr>
    </w:p>
    <w:p w:rsidR="00497C3E" w:rsidRPr="002F4F97" w:rsidRDefault="00497C3E" w:rsidP="00485B04">
      <w:pPr>
        <w:spacing w:after="0" w:line="240" w:lineRule="auto"/>
        <w:jc w:val="center"/>
        <w:outlineLvl w:val="0"/>
        <w:rPr>
          <w:rFonts w:ascii="Times New Roman" w:hAnsi="Times New Roman"/>
          <w:b/>
          <w:sz w:val="28"/>
          <w:szCs w:val="28"/>
          <w:lang w:val="uk-UA"/>
        </w:rPr>
      </w:pPr>
      <w:r w:rsidRPr="002F4F97">
        <w:rPr>
          <w:rFonts w:ascii="Times New Roman" w:hAnsi="Times New Roman"/>
          <w:b/>
          <w:sz w:val="28"/>
          <w:szCs w:val="28"/>
          <w:lang w:val="uk-UA"/>
        </w:rPr>
        <w:t>Лисичанськ</w:t>
      </w:r>
    </w:p>
    <w:p w:rsidR="00497C3E" w:rsidRPr="002F4F97" w:rsidRDefault="00497C3E" w:rsidP="00A97E7B">
      <w:pPr>
        <w:spacing w:after="0" w:line="240" w:lineRule="auto"/>
        <w:jc w:val="center"/>
        <w:rPr>
          <w:rFonts w:ascii="Times New Roman" w:hAnsi="Times New Roman"/>
          <w:b/>
          <w:sz w:val="28"/>
          <w:szCs w:val="28"/>
          <w:lang w:val="uk-UA"/>
        </w:rPr>
      </w:pPr>
      <w:r w:rsidRPr="002F4F97">
        <w:rPr>
          <w:rFonts w:ascii="Times New Roman" w:hAnsi="Times New Roman"/>
          <w:b/>
          <w:sz w:val="28"/>
          <w:szCs w:val="28"/>
          <w:lang w:val="uk-UA"/>
        </w:rPr>
        <w:t>201</w:t>
      </w:r>
      <w:r>
        <w:rPr>
          <w:rFonts w:ascii="Times New Roman" w:hAnsi="Times New Roman"/>
          <w:b/>
          <w:sz w:val="28"/>
          <w:szCs w:val="28"/>
          <w:lang w:val="uk-UA"/>
        </w:rPr>
        <w:t>9</w:t>
      </w:r>
    </w:p>
    <w:p w:rsidR="00497C3E" w:rsidRDefault="00497C3E" w:rsidP="00485B04">
      <w:pPr>
        <w:spacing w:after="0" w:line="240" w:lineRule="auto"/>
        <w:jc w:val="center"/>
        <w:outlineLvl w:val="0"/>
        <w:rPr>
          <w:rFonts w:ascii="Times New Roman" w:hAnsi="Times New Roman"/>
          <w:b/>
          <w:sz w:val="28"/>
          <w:szCs w:val="28"/>
          <w:lang w:val="uk-UA"/>
        </w:rPr>
      </w:pPr>
      <w:r w:rsidRPr="002F4F97">
        <w:rPr>
          <w:rFonts w:ascii="Times New Roman" w:hAnsi="Times New Roman"/>
          <w:sz w:val="28"/>
          <w:szCs w:val="28"/>
          <w:lang w:val="uk-UA"/>
        </w:rPr>
        <w:br w:type="page"/>
      </w:r>
      <w:r w:rsidRPr="002F4F97">
        <w:rPr>
          <w:rFonts w:ascii="Times New Roman" w:hAnsi="Times New Roman"/>
          <w:b/>
          <w:sz w:val="28"/>
          <w:szCs w:val="28"/>
          <w:lang w:val="uk-UA"/>
        </w:rPr>
        <w:lastRenderedPageBreak/>
        <w:t>ЗМІСТ</w:t>
      </w:r>
    </w:p>
    <w:p w:rsidR="00497C3E" w:rsidRDefault="00497C3E" w:rsidP="00485B04">
      <w:pPr>
        <w:spacing w:after="0" w:line="240" w:lineRule="auto"/>
        <w:jc w:val="center"/>
        <w:outlineLvl w:val="0"/>
        <w:rPr>
          <w:rFonts w:ascii="Times New Roman" w:hAnsi="Times New Roman"/>
          <w:b/>
          <w:sz w:val="28"/>
          <w:szCs w:val="28"/>
          <w:lang w:val="uk-UA"/>
        </w:rPr>
      </w:pPr>
    </w:p>
    <w:tbl>
      <w:tblPr>
        <w:tblW w:w="5000" w:type="pct"/>
        <w:jc w:val="center"/>
        <w:tblBorders>
          <w:bottom w:val="single" w:sz="4" w:space="0" w:color="auto"/>
        </w:tblBorders>
        <w:tblLook w:val="00A0" w:firstRow="1" w:lastRow="0" w:firstColumn="1" w:lastColumn="0" w:noHBand="0" w:noVBand="0"/>
      </w:tblPr>
      <w:tblGrid>
        <w:gridCol w:w="9115"/>
        <w:gridCol w:w="456"/>
      </w:tblGrid>
      <w:tr w:rsidR="00497C3E" w:rsidRPr="008B4314" w:rsidTr="001256C1">
        <w:trPr>
          <w:trHeight w:val="20"/>
          <w:jc w:val="center"/>
        </w:trPr>
        <w:tc>
          <w:tcPr>
            <w:tcW w:w="4762" w:type="pct"/>
            <w:tcBorders>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ВСТУП</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54AE3">
            <w:pPr>
              <w:spacing w:after="0" w:line="240" w:lineRule="auto"/>
              <w:contextualSpacing/>
              <w:rPr>
                <w:rFonts w:ascii="Times New Roman" w:hAnsi="Times New Roman"/>
                <w:b/>
                <w:lang w:val="uk-UA"/>
              </w:rPr>
            </w:pPr>
            <w:r w:rsidRPr="008B4314">
              <w:rPr>
                <w:rFonts w:ascii="Times New Roman" w:hAnsi="Times New Roman"/>
                <w:b/>
                <w:lang w:val="uk-UA"/>
              </w:rPr>
              <w:t>1 АНАЛІЗ ЕКОНОМІЧНОГО І СОЦІАЛЬНОГО РОЗВИТКУ ЗА 2018 РІК</w:t>
            </w:r>
          </w:p>
        </w:tc>
        <w:tc>
          <w:tcPr>
            <w:tcW w:w="238" w:type="pct"/>
            <w:vAlign w:val="center"/>
          </w:tcPr>
          <w:p w:rsidR="00497C3E" w:rsidRPr="008B4314" w:rsidRDefault="00497C3E" w:rsidP="00BD1B73">
            <w:pPr>
              <w:spacing w:after="0" w:line="240" w:lineRule="auto"/>
              <w:contextualSpacing/>
              <w:jc w:val="right"/>
              <w:rPr>
                <w:rFonts w:ascii="Times New Roman" w:hAnsi="Times New Roman"/>
                <w:b/>
                <w:lang w:val="uk-UA"/>
              </w:rPr>
            </w:pPr>
            <w:r w:rsidRPr="008B4314">
              <w:rPr>
                <w:rFonts w:ascii="Times New Roman" w:hAnsi="Times New Roman"/>
                <w:b/>
                <w:lang w:val="uk-UA"/>
              </w:rPr>
              <w:t>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1.1 Динаміка розвитку економіки, стан використання природного, виробничого, науково-технічного та трудового потенціалу</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1.2 Головні проблеми розвитку економіки і соціальної сфери</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54AE3">
            <w:pPr>
              <w:spacing w:after="0" w:line="240" w:lineRule="auto"/>
              <w:contextualSpacing/>
              <w:rPr>
                <w:rFonts w:ascii="Times New Roman" w:hAnsi="Times New Roman"/>
                <w:b/>
                <w:lang w:val="uk-UA"/>
              </w:rPr>
            </w:pPr>
            <w:r w:rsidRPr="008B4314">
              <w:rPr>
                <w:rFonts w:ascii="Times New Roman" w:hAnsi="Times New Roman"/>
                <w:b/>
                <w:lang w:val="uk-UA"/>
              </w:rPr>
              <w:t>2 ЦІЛІ І ПРІОРИТЕТИ ЕКОНОМІЧНОГО І СОЦІАЛЬНОГО РОЗВИТКУ У 2019 РОЦІ</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10</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3 ФІНАНСОВІ РЕСУРСИ</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10</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3.1 Джерела формування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10</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3.2 Фінансування заходів</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11</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01920">
            <w:pPr>
              <w:spacing w:after="0" w:line="240" w:lineRule="auto"/>
              <w:contextualSpacing/>
              <w:rPr>
                <w:rFonts w:ascii="Times New Roman" w:hAnsi="Times New Roman"/>
                <w:lang w:val="uk-UA"/>
              </w:rPr>
            </w:pPr>
            <w:r w:rsidRPr="008B4314">
              <w:rPr>
                <w:rFonts w:ascii="Times New Roman" w:hAnsi="Times New Roman"/>
                <w:lang w:val="uk-UA"/>
              </w:rPr>
              <w:t>3.3 Фінансовий стан суб’єктів господарювання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12</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4 РИНКОВІ ПЕРЕТВОРЕННЯ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4.1. Реформування відносин власності</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4.2 Розвиток підприємництва</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4.3 Розвиток ринкової інфраструктури</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5 МЕХАНІЗМИ РЕГУЛЮВАННЯ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15</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5.1 Управління об’єктами комунальної власності</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15</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5.2 Інвестиційна діяльність</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17</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5.3 Закупівля продукції (товарів, робіт, послуг) для потреб міста</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18</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CC7388">
            <w:pPr>
              <w:spacing w:after="0" w:line="240" w:lineRule="auto"/>
              <w:contextualSpacing/>
              <w:rPr>
                <w:rFonts w:ascii="Times New Roman" w:hAnsi="Times New Roman"/>
                <w:lang w:val="uk-UA"/>
              </w:rPr>
            </w:pPr>
            <w:r w:rsidRPr="008B4314">
              <w:rPr>
                <w:rFonts w:ascii="Times New Roman" w:hAnsi="Times New Roman"/>
                <w:lang w:val="uk-UA"/>
              </w:rPr>
              <w:t>5.4 Реалізація місцевих цільових та комплексних програм</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18</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6 РОЗВИТОК РЕАЛЬНОГО СЕКТОРУ ЕКОНОМІКИ</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r w:rsidRPr="008B4314">
              <w:rPr>
                <w:rFonts w:ascii="Times New Roman" w:hAnsi="Times New Roman"/>
                <w:b/>
                <w:lang w:val="uk-UA"/>
              </w:rPr>
              <w:t>19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6.1 Промисловість</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19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91E5C">
            <w:pPr>
              <w:spacing w:after="0" w:line="240" w:lineRule="auto"/>
              <w:contextualSpacing/>
              <w:rPr>
                <w:rFonts w:ascii="Times New Roman" w:hAnsi="Times New Roman"/>
                <w:lang w:val="uk-UA"/>
              </w:rPr>
            </w:pPr>
            <w:r w:rsidRPr="008B4314">
              <w:rPr>
                <w:rFonts w:ascii="Times New Roman" w:hAnsi="Times New Roman"/>
                <w:lang w:val="uk-UA"/>
              </w:rPr>
              <w:t>6.2 Споживчий ринок</w:t>
            </w:r>
          </w:p>
        </w:tc>
        <w:tc>
          <w:tcPr>
            <w:tcW w:w="238" w:type="pct"/>
            <w:vAlign w:val="center"/>
          </w:tcPr>
          <w:p w:rsidR="00497C3E" w:rsidRPr="008B4314" w:rsidRDefault="00497C3E" w:rsidP="005B5089">
            <w:pPr>
              <w:spacing w:after="0" w:line="240" w:lineRule="auto"/>
              <w:contextualSpacing/>
              <w:jc w:val="right"/>
              <w:rPr>
                <w:rFonts w:ascii="Times New Roman" w:hAnsi="Times New Roman"/>
                <w:lang w:val="uk-UA"/>
              </w:rPr>
            </w:pPr>
            <w:r w:rsidRPr="008B4314">
              <w:rPr>
                <w:rFonts w:ascii="Times New Roman" w:hAnsi="Times New Roman"/>
                <w:lang w:val="uk-UA"/>
              </w:rPr>
              <w:t>23</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E91E5C">
            <w:pPr>
              <w:spacing w:after="0" w:line="240" w:lineRule="auto"/>
              <w:contextualSpacing/>
              <w:rPr>
                <w:rFonts w:ascii="Times New Roman" w:hAnsi="Times New Roman"/>
                <w:lang w:val="uk-UA"/>
              </w:rPr>
            </w:pPr>
            <w:r w:rsidRPr="008B4314">
              <w:rPr>
                <w:rFonts w:ascii="Times New Roman" w:hAnsi="Times New Roman"/>
                <w:lang w:val="uk-UA"/>
              </w:rPr>
              <w:t>6.3 Транспорт</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27</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7 СОЦІАЛЬНА СФЕРА</w:t>
            </w:r>
          </w:p>
        </w:tc>
        <w:tc>
          <w:tcPr>
            <w:tcW w:w="238" w:type="pct"/>
            <w:vAlign w:val="center"/>
          </w:tcPr>
          <w:p w:rsidR="00497C3E" w:rsidRPr="008B4314" w:rsidRDefault="00497C3E" w:rsidP="005B5089">
            <w:pPr>
              <w:spacing w:after="0" w:line="240" w:lineRule="auto"/>
              <w:contextualSpacing/>
              <w:jc w:val="right"/>
              <w:rPr>
                <w:rFonts w:ascii="Times New Roman" w:hAnsi="Times New Roman"/>
                <w:b/>
                <w:lang w:val="uk-UA"/>
              </w:rPr>
            </w:pPr>
            <w:r w:rsidRPr="008B4314">
              <w:rPr>
                <w:rFonts w:ascii="Times New Roman" w:hAnsi="Times New Roman"/>
                <w:b/>
                <w:lang w:val="uk-UA"/>
              </w:rPr>
              <w:t>29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7.1 Демографічна ситуація</w:t>
            </w:r>
          </w:p>
        </w:tc>
        <w:tc>
          <w:tcPr>
            <w:tcW w:w="238" w:type="pct"/>
            <w:vAlign w:val="center"/>
          </w:tcPr>
          <w:p w:rsidR="00497C3E" w:rsidRPr="008B4314" w:rsidRDefault="00497C3E" w:rsidP="005B5089">
            <w:pPr>
              <w:spacing w:after="0" w:line="240" w:lineRule="auto"/>
              <w:contextualSpacing/>
              <w:jc w:val="right"/>
              <w:rPr>
                <w:rFonts w:ascii="Times New Roman" w:hAnsi="Times New Roman"/>
                <w:lang w:val="uk-UA"/>
              </w:rPr>
            </w:pPr>
            <w:r w:rsidRPr="008B4314">
              <w:rPr>
                <w:rFonts w:ascii="Times New Roman" w:hAnsi="Times New Roman"/>
                <w:lang w:val="uk-UA"/>
              </w:rPr>
              <w:t>29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7.2 Зайнятість населення та ринок праці</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29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CC7388">
            <w:pPr>
              <w:spacing w:after="0" w:line="240" w:lineRule="auto"/>
              <w:contextualSpacing/>
              <w:rPr>
                <w:rFonts w:ascii="Times New Roman" w:hAnsi="Times New Roman"/>
                <w:lang w:val="uk-UA"/>
              </w:rPr>
            </w:pPr>
            <w:r w:rsidRPr="008B4314">
              <w:rPr>
                <w:rFonts w:ascii="Times New Roman" w:hAnsi="Times New Roman"/>
                <w:lang w:val="uk-UA"/>
              </w:rPr>
              <w:t>7.3. Грошові доходи населення та заробітна плата</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31</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CC7388">
            <w:pPr>
              <w:spacing w:after="0" w:line="240" w:lineRule="auto"/>
              <w:contextualSpacing/>
              <w:rPr>
                <w:rFonts w:ascii="Times New Roman" w:hAnsi="Times New Roman"/>
                <w:lang w:val="uk-UA"/>
              </w:rPr>
            </w:pPr>
            <w:r w:rsidRPr="008B4314">
              <w:rPr>
                <w:rFonts w:ascii="Times New Roman" w:hAnsi="Times New Roman"/>
                <w:lang w:val="uk-UA"/>
              </w:rPr>
              <w:t>7.4 Соціальне забезпечення</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32</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7.5 Пенсійне забезпечення</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37</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7.6 Житлово-комунальне господарство</w:t>
            </w:r>
          </w:p>
        </w:tc>
        <w:tc>
          <w:tcPr>
            <w:tcW w:w="238" w:type="pct"/>
            <w:vAlign w:val="center"/>
          </w:tcPr>
          <w:p w:rsidR="00497C3E" w:rsidRPr="008B4314" w:rsidRDefault="00497C3E" w:rsidP="00DF13A8">
            <w:pPr>
              <w:spacing w:after="0" w:line="240" w:lineRule="auto"/>
              <w:contextualSpacing/>
              <w:jc w:val="right"/>
              <w:rPr>
                <w:rFonts w:ascii="Times New Roman" w:hAnsi="Times New Roman"/>
                <w:lang w:val="uk-UA"/>
              </w:rPr>
            </w:pPr>
            <w:r w:rsidRPr="008B4314">
              <w:rPr>
                <w:rFonts w:ascii="Times New Roman" w:hAnsi="Times New Roman"/>
                <w:lang w:val="uk-UA"/>
              </w:rPr>
              <w:t>38</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8 ГУМАНІТАРНА СФЕРА</w:t>
            </w:r>
          </w:p>
        </w:tc>
        <w:tc>
          <w:tcPr>
            <w:tcW w:w="238" w:type="pct"/>
            <w:vAlign w:val="center"/>
          </w:tcPr>
          <w:p w:rsidR="00497C3E" w:rsidRPr="008B4314" w:rsidRDefault="00497C3E" w:rsidP="005B5089">
            <w:pPr>
              <w:spacing w:after="0" w:line="240" w:lineRule="auto"/>
              <w:contextualSpacing/>
              <w:jc w:val="right"/>
              <w:rPr>
                <w:rFonts w:ascii="Times New Roman" w:hAnsi="Times New Roman"/>
                <w:b/>
                <w:lang w:val="uk-UA"/>
              </w:rPr>
            </w:pPr>
            <w:r w:rsidRPr="008B4314">
              <w:rPr>
                <w:rFonts w:ascii="Times New Roman" w:hAnsi="Times New Roman"/>
                <w:b/>
                <w:lang w:val="uk-UA"/>
              </w:rPr>
              <w:t>44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8.1 Охорона здоров’я</w:t>
            </w:r>
          </w:p>
        </w:tc>
        <w:tc>
          <w:tcPr>
            <w:tcW w:w="238" w:type="pct"/>
            <w:vAlign w:val="center"/>
          </w:tcPr>
          <w:p w:rsidR="00497C3E" w:rsidRPr="008B4314" w:rsidRDefault="00497C3E" w:rsidP="005B5089">
            <w:pPr>
              <w:spacing w:after="0" w:line="240" w:lineRule="auto"/>
              <w:contextualSpacing/>
              <w:jc w:val="right"/>
              <w:rPr>
                <w:rFonts w:ascii="Times New Roman" w:hAnsi="Times New Roman"/>
                <w:lang w:val="uk-UA"/>
              </w:rPr>
            </w:pPr>
            <w:r w:rsidRPr="008B4314">
              <w:rPr>
                <w:rFonts w:ascii="Times New Roman" w:hAnsi="Times New Roman"/>
                <w:lang w:val="uk-UA"/>
              </w:rPr>
              <w:t>44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8.2 Освіта</w:t>
            </w:r>
          </w:p>
        </w:tc>
        <w:tc>
          <w:tcPr>
            <w:tcW w:w="238" w:type="pct"/>
            <w:vAlign w:val="center"/>
          </w:tcPr>
          <w:p w:rsidR="00497C3E" w:rsidRPr="008B4314" w:rsidRDefault="00497C3E" w:rsidP="001C35EC">
            <w:pPr>
              <w:spacing w:after="0" w:line="240" w:lineRule="auto"/>
              <w:contextualSpacing/>
              <w:jc w:val="right"/>
              <w:rPr>
                <w:rFonts w:ascii="Times New Roman" w:hAnsi="Times New Roman"/>
                <w:lang w:val="uk-UA"/>
              </w:rPr>
            </w:pPr>
            <w:r w:rsidRPr="008B4314">
              <w:rPr>
                <w:rFonts w:ascii="Times New Roman" w:hAnsi="Times New Roman"/>
                <w:lang w:val="uk-UA"/>
              </w:rPr>
              <w:t>4</w:t>
            </w:r>
            <w:r w:rsidR="001C35EC">
              <w:rPr>
                <w:rFonts w:ascii="Times New Roman" w:hAnsi="Times New Roman"/>
                <w:lang w:val="uk-UA"/>
              </w:rPr>
              <w:t>5</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8.3. Культура</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49</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8.4 Фізична культура і спорт</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51</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8.5 Створення умов соціалізації сім’ї та молоді</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52</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b/>
                <w:lang w:val="uk-UA"/>
              </w:rPr>
            </w:pPr>
            <w:r w:rsidRPr="008B4314">
              <w:rPr>
                <w:rFonts w:ascii="Times New Roman" w:hAnsi="Times New Roman"/>
                <w:b/>
                <w:lang w:val="uk-UA"/>
              </w:rPr>
              <w:t>9 ПРИРОДОКОРИСТУВАННЯ ТА БЕЗПЕКА ЖИТТЄДІЯЛЬНОСТІ ЛЮДИНИ</w:t>
            </w:r>
          </w:p>
        </w:tc>
        <w:tc>
          <w:tcPr>
            <w:tcW w:w="238" w:type="pct"/>
            <w:vAlign w:val="center"/>
          </w:tcPr>
          <w:p w:rsidR="00497C3E" w:rsidRPr="008B4314" w:rsidRDefault="00497C3E" w:rsidP="005B5089">
            <w:pPr>
              <w:spacing w:after="0" w:line="240" w:lineRule="auto"/>
              <w:contextualSpacing/>
              <w:jc w:val="right"/>
              <w:rPr>
                <w:rFonts w:ascii="Times New Roman" w:hAnsi="Times New Roman"/>
                <w:b/>
                <w:lang w:val="uk-UA"/>
              </w:rPr>
            </w:pPr>
            <w:r w:rsidRPr="008B4314">
              <w:rPr>
                <w:rFonts w:ascii="Times New Roman" w:hAnsi="Times New Roman"/>
                <w:b/>
                <w:lang w:val="uk-UA"/>
              </w:rPr>
              <w:t>54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9.1 Охорона навколишнього природного середовища</w:t>
            </w:r>
          </w:p>
        </w:tc>
        <w:tc>
          <w:tcPr>
            <w:tcW w:w="238" w:type="pct"/>
            <w:vAlign w:val="center"/>
          </w:tcPr>
          <w:p w:rsidR="00497C3E" w:rsidRPr="008B4314" w:rsidRDefault="00497C3E" w:rsidP="005B5089">
            <w:pPr>
              <w:spacing w:after="0" w:line="240" w:lineRule="auto"/>
              <w:contextualSpacing/>
              <w:jc w:val="right"/>
              <w:rPr>
                <w:rFonts w:ascii="Times New Roman" w:hAnsi="Times New Roman"/>
                <w:lang w:val="uk-UA"/>
              </w:rPr>
            </w:pPr>
            <w:r w:rsidRPr="008B4314">
              <w:rPr>
                <w:rFonts w:ascii="Times New Roman" w:hAnsi="Times New Roman"/>
                <w:lang w:val="uk-UA"/>
              </w:rPr>
              <w:t>54</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DF13A8">
            <w:pPr>
              <w:spacing w:after="0" w:line="240" w:lineRule="auto"/>
              <w:contextualSpacing/>
              <w:rPr>
                <w:rFonts w:ascii="Times New Roman" w:hAnsi="Times New Roman"/>
                <w:lang w:val="uk-UA"/>
              </w:rPr>
            </w:pPr>
            <w:r w:rsidRPr="008B4314">
              <w:rPr>
                <w:rFonts w:ascii="Times New Roman" w:hAnsi="Times New Roman"/>
                <w:lang w:val="uk-UA"/>
              </w:rPr>
              <w:t>9.2 Охорона праці</w:t>
            </w:r>
          </w:p>
        </w:tc>
        <w:tc>
          <w:tcPr>
            <w:tcW w:w="238" w:type="pct"/>
            <w:vAlign w:val="center"/>
          </w:tcPr>
          <w:p w:rsidR="00497C3E" w:rsidRPr="008B4314" w:rsidRDefault="001C35EC" w:rsidP="005B5089">
            <w:pPr>
              <w:spacing w:after="0" w:line="240" w:lineRule="auto"/>
              <w:contextualSpacing/>
              <w:jc w:val="right"/>
              <w:rPr>
                <w:rFonts w:ascii="Times New Roman" w:hAnsi="Times New Roman"/>
                <w:lang w:val="uk-UA"/>
              </w:rPr>
            </w:pPr>
            <w:r>
              <w:rPr>
                <w:rFonts w:ascii="Times New Roman" w:hAnsi="Times New Roman"/>
                <w:lang w:val="uk-UA"/>
              </w:rPr>
              <w:t>56</w:t>
            </w: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1A269E">
            <w:pPr>
              <w:pStyle w:val="14pt"/>
              <w:ind w:firstLine="0"/>
              <w:contextualSpacing/>
              <w:jc w:val="left"/>
              <w:rPr>
                <w:b w:val="0"/>
                <w:sz w:val="22"/>
                <w:szCs w:val="22"/>
                <w:lang w:val="uk-UA"/>
              </w:rPr>
            </w:pPr>
            <w:r w:rsidRPr="008B4314">
              <w:rPr>
                <w:b w:val="0"/>
                <w:sz w:val="22"/>
                <w:szCs w:val="22"/>
                <w:lang w:val="uk-UA"/>
              </w:rPr>
              <w:t>Додаток 1 Основні показники економічного і соціального розвитку м. Лисичанська на 2019 рік</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1A269E">
            <w:pPr>
              <w:pStyle w:val="14pt"/>
              <w:ind w:firstLine="0"/>
              <w:contextualSpacing/>
              <w:jc w:val="left"/>
              <w:rPr>
                <w:b w:val="0"/>
                <w:sz w:val="22"/>
                <w:szCs w:val="22"/>
                <w:lang w:val="uk-UA"/>
              </w:rPr>
            </w:pPr>
            <w:r w:rsidRPr="008B4314">
              <w:rPr>
                <w:b w:val="0"/>
                <w:sz w:val="22"/>
                <w:szCs w:val="22"/>
                <w:lang w:val="uk-UA"/>
              </w:rPr>
              <w:t xml:space="preserve">Додаток 2 </w:t>
            </w:r>
            <w:r w:rsidRPr="008B4314">
              <w:rPr>
                <w:b w:val="0"/>
                <w:bCs/>
                <w:sz w:val="22"/>
                <w:szCs w:val="22"/>
                <w:lang w:val="uk-UA"/>
              </w:rPr>
              <w:t>Заходи щодо забезпечення виконання завдань Програми економічного і соціального розвитку м. Лисичанська на 2019 рік</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1C35EC" w:rsidP="001C35EC">
            <w:pPr>
              <w:pStyle w:val="14pt"/>
              <w:ind w:firstLine="0"/>
              <w:contextualSpacing/>
              <w:jc w:val="left"/>
              <w:rPr>
                <w:b w:val="0"/>
                <w:sz w:val="22"/>
                <w:szCs w:val="22"/>
                <w:lang w:val="uk-UA"/>
              </w:rPr>
            </w:pPr>
            <w:r w:rsidRPr="008B4314">
              <w:rPr>
                <w:b w:val="0"/>
                <w:sz w:val="22"/>
                <w:szCs w:val="22"/>
                <w:lang w:val="uk-UA"/>
              </w:rPr>
              <w:t xml:space="preserve">Додаток </w:t>
            </w:r>
            <w:r>
              <w:rPr>
                <w:b w:val="0"/>
                <w:sz w:val="22"/>
                <w:szCs w:val="22"/>
                <w:lang w:val="uk-UA"/>
              </w:rPr>
              <w:t>3</w:t>
            </w:r>
            <w:r w:rsidRPr="008B4314">
              <w:rPr>
                <w:b w:val="0"/>
                <w:sz w:val="22"/>
                <w:szCs w:val="22"/>
                <w:lang w:val="uk-UA"/>
              </w:rPr>
              <w:t xml:space="preserve"> </w:t>
            </w:r>
            <w:r w:rsidRPr="008B4314">
              <w:rPr>
                <w:b w:val="0"/>
                <w:bCs/>
                <w:sz w:val="22"/>
                <w:szCs w:val="22"/>
                <w:lang w:val="uk-UA"/>
              </w:rPr>
              <w:t>Перелік інвестиційних проектів за пріоритетними напрямками соціально-економічного розвитку, які передбачається реалізувати у 2019 році</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1C35EC" w:rsidRDefault="001C35EC" w:rsidP="001C35EC">
            <w:pPr>
              <w:pStyle w:val="14pt"/>
              <w:ind w:firstLine="0"/>
              <w:contextualSpacing/>
              <w:jc w:val="left"/>
              <w:rPr>
                <w:b w:val="0"/>
                <w:sz w:val="22"/>
                <w:szCs w:val="22"/>
              </w:rPr>
            </w:pPr>
            <w:r w:rsidRPr="008B4314">
              <w:rPr>
                <w:b w:val="0"/>
                <w:sz w:val="22"/>
                <w:szCs w:val="22"/>
                <w:lang w:val="uk-UA"/>
              </w:rPr>
              <w:t xml:space="preserve">Додаток </w:t>
            </w:r>
            <w:r>
              <w:rPr>
                <w:b w:val="0"/>
                <w:sz w:val="22"/>
                <w:szCs w:val="22"/>
                <w:lang w:val="uk-UA"/>
              </w:rPr>
              <w:t>4</w:t>
            </w:r>
            <w:r w:rsidRPr="008B4314">
              <w:rPr>
                <w:b w:val="0"/>
                <w:sz w:val="22"/>
                <w:szCs w:val="22"/>
                <w:lang w:val="uk-UA"/>
              </w:rPr>
              <w:t xml:space="preserve"> </w:t>
            </w:r>
            <w:r w:rsidRPr="008B4314">
              <w:rPr>
                <w:b w:val="0"/>
                <w:bCs/>
                <w:sz w:val="22"/>
                <w:szCs w:val="22"/>
                <w:lang w:val="uk-UA"/>
              </w:rPr>
              <w:t>Перелік місцевих (цільових) програм, діючих на території м. Лисичанська, які передбачається виконувати у 201</w:t>
            </w:r>
            <w:r>
              <w:rPr>
                <w:b w:val="0"/>
                <w:bCs/>
                <w:sz w:val="22"/>
                <w:szCs w:val="22"/>
                <w:lang w:val="uk-UA"/>
              </w:rPr>
              <w:t>9</w:t>
            </w:r>
            <w:r w:rsidRPr="008B4314">
              <w:rPr>
                <w:b w:val="0"/>
                <w:bCs/>
                <w:sz w:val="22"/>
                <w:szCs w:val="22"/>
                <w:lang w:val="uk-UA"/>
              </w:rPr>
              <w:t xml:space="preserve"> році</w:t>
            </w:r>
          </w:p>
        </w:tc>
        <w:tc>
          <w:tcPr>
            <w:tcW w:w="238" w:type="pct"/>
            <w:vAlign w:val="center"/>
          </w:tcPr>
          <w:p w:rsidR="00497C3E" w:rsidRPr="008B4314" w:rsidRDefault="00497C3E" w:rsidP="00DF13A8">
            <w:pPr>
              <w:spacing w:after="0" w:line="240" w:lineRule="auto"/>
              <w:contextualSpacing/>
              <w:jc w:val="right"/>
              <w:rPr>
                <w:rFonts w:ascii="Times New Roman" w:hAnsi="Times New Roman"/>
                <w:b/>
                <w:lang w:val="uk-UA"/>
              </w:rPr>
            </w:pPr>
          </w:p>
        </w:tc>
      </w:tr>
      <w:tr w:rsidR="00497C3E" w:rsidRPr="008B4314" w:rsidTr="001256C1">
        <w:trPr>
          <w:trHeight w:val="20"/>
          <w:jc w:val="center"/>
        </w:trPr>
        <w:tc>
          <w:tcPr>
            <w:tcW w:w="4762" w:type="pct"/>
            <w:tcBorders>
              <w:top w:val="single" w:sz="4" w:space="0" w:color="auto"/>
              <w:bottom w:val="single" w:sz="4" w:space="0" w:color="auto"/>
            </w:tcBorders>
            <w:vAlign w:val="center"/>
          </w:tcPr>
          <w:p w:rsidR="00497C3E" w:rsidRPr="008B4314" w:rsidRDefault="00497C3E" w:rsidP="008B4314">
            <w:pPr>
              <w:pStyle w:val="14pt"/>
              <w:ind w:firstLine="0"/>
              <w:contextualSpacing/>
              <w:jc w:val="left"/>
              <w:rPr>
                <w:b w:val="0"/>
                <w:sz w:val="22"/>
                <w:szCs w:val="22"/>
                <w:lang w:val="uk-UA"/>
              </w:rPr>
            </w:pPr>
            <w:r w:rsidRPr="008B4314">
              <w:rPr>
                <w:b w:val="0"/>
                <w:sz w:val="22"/>
                <w:szCs w:val="22"/>
                <w:lang w:val="uk-UA"/>
              </w:rPr>
              <w:t>Додаток 5 Перспективний план заходів стратегічного характеру м. Лисичанськ на 2019-2021 р.р.</w:t>
            </w:r>
          </w:p>
        </w:tc>
        <w:tc>
          <w:tcPr>
            <w:tcW w:w="238" w:type="pct"/>
            <w:tcBorders>
              <w:bottom w:val="single" w:sz="4" w:space="0" w:color="auto"/>
            </w:tcBorders>
            <w:vAlign w:val="center"/>
          </w:tcPr>
          <w:p w:rsidR="00497C3E" w:rsidRPr="008B4314" w:rsidRDefault="00497C3E" w:rsidP="00DF13A8">
            <w:pPr>
              <w:spacing w:after="0" w:line="240" w:lineRule="auto"/>
              <w:contextualSpacing/>
              <w:jc w:val="right"/>
              <w:rPr>
                <w:rFonts w:ascii="Times New Roman" w:hAnsi="Times New Roman"/>
                <w:b/>
                <w:lang w:val="uk-UA"/>
              </w:rPr>
            </w:pPr>
          </w:p>
        </w:tc>
      </w:tr>
    </w:tbl>
    <w:p w:rsidR="00497C3E" w:rsidRPr="002F4F97" w:rsidRDefault="00497C3E" w:rsidP="00485B04">
      <w:pPr>
        <w:spacing w:after="0" w:line="240" w:lineRule="auto"/>
        <w:jc w:val="center"/>
        <w:outlineLvl w:val="0"/>
        <w:rPr>
          <w:rFonts w:ascii="Times New Roman" w:hAnsi="Times New Roman"/>
          <w:b/>
          <w:sz w:val="28"/>
          <w:szCs w:val="28"/>
          <w:lang w:val="uk-UA"/>
        </w:rPr>
      </w:pPr>
      <w:r w:rsidRPr="002F4F97">
        <w:rPr>
          <w:rFonts w:ascii="Times New Roman" w:hAnsi="Times New Roman"/>
          <w:b/>
          <w:sz w:val="28"/>
          <w:szCs w:val="28"/>
          <w:lang w:val="uk-UA"/>
        </w:rPr>
        <w:br w:type="page"/>
      </w:r>
      <w:r w:rsidRPr="002F4F97">
        <w:rPr>
          <w:rFonts w:ascii="Times New Roman" w:hAnsi="Times New Roman"/>
          <w:b/>
          <w:sz w:val="28"/>
          <w:szCs w:val="28"/>
          <w:lang w:val="uk-UA"/>
        </w:rPr>
        <w:lastRenderedPageBreak/>
        <w:t>ВСТУП</w:t>
      </w:r>
    </w:p>
    <w:p w:rsidR="00497C3E" w:rsidRPr="002F4F97" w:rsidRDefault="00497C3E" w:rsidP="00C010E3">
      <w:pPr>
        <w:spacing w:after="0" w:line="240" w:lineRule="auto"/>
        <w:ind w:firstLine="709"/>
        <w:jc w:val="both"/>
        <w:rPr>
          <w:rFonts w:ascii="Times New Roman" w:hAnsi="Times New Roman"/>
          <w:b/>
          <w:sz w:val="28"/>
          <w:szCs w:val="28"/>
          <w:lang w:val="uk-UA"/>
        </w:rPr>
      </w:pP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Програма економічного і соціального розвитку міста Лисичанськ на 2019 рік</w:t>
      </w:r>
      <w:r w:rsidRPr="002F4F97">
        <w:rPr>
          <w:rFonts w:ascii="Times New Roman" w:hAnsi="Times New Roman"/>
          <w:sz w:val="28"/>
          <w:szCs w:val="28"/>
          <w:lang w:val="uk-UA"/>
        </w:rPr>
        <w:t xml:space="preserve"> (далі – Програма) розроблена Управлянням економіки Лисичанської міської ради за участі структурних підрозділів Лисичанської міської ради, територіальних органів виконавчої влади.</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Законодавчою базою</w:t>
      </w:r>
      <w:r w:rsidRPr="002F4F97">
        <w:rPr>
          <w:rFonts w:ascii="Times New Roman" w:hAnsi="Times New Roman"/>
          <w:sz w:val="28"/>
          <w:szCs w:val="28"/>
          <w:lang w:val="uk-UA"/>
        </w:rPr>
        <w:t xml:space="preserve"> для розроблення Програми є Закон України «Про місцеве самоврядування в Україні», Закон України «Про державне прогнозування та розроблення програм економічного і соціального розвитку України», постанова Кабінету Міністрів України від 26.04.2003 №621 «Про розроблення прогнозних і програмних документів економічного і соціального розвитку та складання проекту державного бюджету», постанова Кабінету Міністрів України від 31.05.2017 №411 «Про схвалення Прогнозу економічного і соціального розвитку України на 2018-2020 роки».</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Програму розроблено з урахуванням завдань і положень:</w:t>
      </w:r>
    </w:p>
    <w:p w:rsidR="00497C3E" w:rsidRPr="002F4F97" w:rsidRDefault="00497C3E" w:rsidP="00FB62A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Державної стратегії регіонального розвитку на період до 2020 року, затвердженої постановою Кабінету Міністрів України від 06.08.2014 №385;</w:t>
      </w:r>
    </w:p>
    <w:p w:rsidR="00497C3E" w:rsidRPr="002F4F97" w:rsidRDefault="00497C3E" w:rsidP="00FB62A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Стратегії розвитку Луганської області до 2020 року, затвердженої розпорядженням голови Луганської обласної державної адміністрації від 26.06.2015 №272;</w:t>
      </w:r>
    </w:p>
    <w:p w:rsidR="00497C3E" w:rsidRPr="002F4F97" w:rsidRDefault="00497C3E" w:rsidP="00FB62A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Програми економічного і соціального розвитку Луганської області на 2019 рік, затвердженої розпорядженням голови Луганської обласної державної адміністрації від 20.12.2018 №1036.</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Програма визначає мету та пріоритетні напрями дій на 2019 рік</w:t>
      </w:r>
      <w:r w:rsidRPr="002F4F97">
        <w:rPr>
          <w:rFonts w:ascii="Times New Roman" w:hAnsi="Times New Roman"/>
          <w:sz w:val="28"/>
          <w:szCs w:val="28"/>
          <w:lang w:val="uk-UA"/>
        </w:rPr>
        <w:t xml:space="preserve"> щодо забезпечення найбільш повної реалізації економічного потенціалу і на цій основі поліпшення якості життя мешканців міста, максимально можливого зменшення впливу негативних соціально-економічних чинників, які мають місце в Лисичанську.</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Прогнозні розрахунки і заходи Програми розроблені на основі</w:t>
      </w:r>
      <w:r w:rsidRPr="002F4F97">
        <w:rPr>
          <w:rFonts w:ascii="Times New Roman" w:hAnsi="Times New Roman"/>
          <w:sz w:val="28"/>
          <w:szCs w:val="28"/>
          <w:lang w:val="uk-UA"/>
        </w:rPr>
        <w:t xml:space="preserve"> аналізу поточної со</w:t>
      </w:r>
      <w:r w:rsidR="00BA7563">
        <w:rPr>
          <w:rFonts w:ascii="Times New Roman" w:hAnsi="Times New Roman"/>
          <w:sz w:val="28"/>
          <w:szCs w:val="28"/>
          <w:lang w:val="uk-UA"/>
        </w:rPr>
        <w:t>ціально-економічної ситуації у</w:t>
      </w:r>
      <w:r w:rsidRPr="002F4F97">
        <w:rPr>
          <w:rFonts w:ascii="Times New Roman" w:hAnsi="Times New Roman"/>
          <w:sz w:val="28"/>
          <w:szCs w:val="28"/>
          <w:lang w:val="uk-UA"/>
        </w:rPr>
        <w:t xml:space="preserve"> міст</w:t>
      </w:r>
      <w:r w:rsidR="00BA7563">
        <w:rPr>
          <w:rFonts w:ascii="Times New Roman" w:hAnsi="Times New Roman"/>
          <w:sz w:val="28"/>
          <w:szCs w:val="28"/>
          <w:lang w:val="uk-UA"/>
        </w:rPr>
        <w:t>і</w:t>
      </w:r>
      <w:r w:rsidRPr="002F4F97">
        <w:rPr>
          <w:rFonts w:ascii="Times New Roman" w:hAnsi="Times New Roman"/>
          <w:sz w:val="28"/>
          <w:szCs w:val="28"/>
          <w:lang w:val="uk-UA"/>
        </w:rPr>
        <w:t>, з урахуванням тенденцій останнього року та пропозицій структурних підрозділів Лисичанської міської ради.</w:t>
      </w:r>
    </w:p>
    <w:p w:rsidR="00497C3E" w:rsidRPr="002F4F97" w:rsidRDefault="00497C3E" w:rsidP="00C010E3">
      <w:pPr>
        <w:spacing w:after="0" w:line="240" w:lineRule="auto"/>
        <w:ind w:firstLine="709"/>
        <w:jc w:val="both"/>
        <w:rPr>
          <w:rFonts w:ascii="Times New Roman" w:hAnsi="Times New Roman"/>
          <w:sz w:val="28"/>
          <w:szCs w:val="28"/>
          <w:lang w:val="uk-UA"/>
        </w:rPr>
      </w:pPr>
      <w:r w:rsidRPr="002F4F97">
        <w:rPr>
          <w:rFonts w:ascii="Times New Roman" w:hAnsi="Times New Roman"/>
          <w:b/>
          <w:sz w:val="28"/>
          <w:szCs w:val="28"/>
          <w:lang w:val="uk-UA"/>
        </w:rPr>
        <w:t>Фінансування передбачених Програмою заходів</w:t>
      </w:r>
      <w:r w:rsidRPr="002F4F97">
        <w:rPr>
          <w:rFonts w:ascii="Times New Roman" w:hAnsi="Times New Roman"/>
          <w:sz w:val="28"/>
          <w:szCs w:val="28"/>
          <w:lang w:val="uk-UA"/>
        </w:rPr>
        <w:t xml:space="preserve"> буде здійснюватися за рахунок коштів місцевого бюджету, обласного бюджету, державного бюджету, міжнародної технічної допомоги, що спрямовуються на вирішення нагальних проблем міста, а також інших коштів, використання яких не суперечить чинному законодавству.</w:t>
      </w:r>
    </w:p>
    <w:p w:rsidR="00497C3E" w:rsidRPr="002F4F97" w:rsidRDefault="00497C3E" w:rsidP="00B10CC2">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br w:type="page"/>
      </w:r>
      <w:r w:rsidRPr="002F4F97">
        <w:rPr>
          <w:rFonts w:ascii="Times New Roman" w:hAnsi="Times New Roman"/>
          <w:b/>
          <w:sz w:val="28"/>
          <w:szCs w:val="28"/>
          <w:lang w:val="uk-UA" w:eastAsia="ru-RU"/>
        </w:rPr>
        <w:lastRenderedPageBreak/>
        <w:t>АНАЛІЗ ЕКОНОМІЧНОГО І СОЦІАЛЬНОГО РОЗВИТКУ ЗА 2018 РІК</w:t>
      </w:r>
    </w:p>
    <w:p w:rsidR="00497C3E" w:rsidRPr="002F4F97" w:rsidRDefault="00497C3E" w:rsidP="006974A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bookmarkStart w:id="1" w:name="o1283"/>
      <w:bookmarkEnd w:id="1"/>
      <w:r w:rsidRPr="002F4F97">
        <w:rPr>
          <w:rFonts w:ascii="Times New Roman" w:hAnsi="Times New Roman"/>
          <w:b/>
          <w:sz w:val="28"/>
          <w:szCs w:val="28"/>
          <w:lang w:val="uk-UA" w:eastAsia="ru-RU"/>
        </w:rPr>
        <w:t>Динаміка розвитку економіки, стан використання природного, виробничого, науково-технічного та трудового потенціалу</w:t>
      </w:r>
    </w:p>
    <w:p w:rsidR="00497C3E" w:rsidRPr="002F4F97" w:rsidRDefault="00497C3E" w:rsidP="00C90AE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Лисичанськ є містом обласного значення, з розгалуженою інфраструктурою старопромислового міста, але існує безліч проблем, які не сприяють подальшому перспективному розвитку міста. Економіка міста у 2018 році знаходилась у депресивному стані, що спричинено складною суспільно-політичною ситуацією та іншими факторами об’єктивного характеру, тому значна увага була надана відновленню та розвитку інфраструктури міста, а саме реновації об’єктів, що мають соціальне значення.</w:t>
      </w:r>
    </w:p>
    <w:p w:rsidR="00497C3E" w:rsidRPr="002F4F97" w:rsidRDefault="00497C3E" w:rsidP="000C402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січні-</w:t>
      </w:r>
      <w:r>
        <w:rPr>
          <w:rFonts w:ascii="Times New Roman" w:hAnsi="Times New Roman"/>
          <w:sz w:val="28"/>
          <w:szCs w:val="28"/>
          <w:lang w:val="uk-UA"/>
        </w:rPr>
        <w:t>грудні</w:t>
      </w:r>
      <w:r w:rsidRPr="002F4F97">
        <w:rPr>
          <w:rFonts w:ascii="Times New Roman" w:hAnsi="Times New Roman"/>
          <w:sz w:val="28"/>
          <w:szCs w:val="28"/>
          <w:lang w:val="uk-UA"/>
        </w:rPr>
        <w:t xml:space="preserve"> 2018 році реалізовано промислової продукції, робіт і послуг на суму 1 </w:t>
      </w:r>
      <w:r>
        <w:rPr>
          <w:rFonts w:ascii="Times New Roman" w:hAnsi="Times New Roman"/>
          <w:sz w:val="28"/>
          <w:szCs w:val="28"/>
          <w:lang w:val="uk-UA"/>
        </w:rPr>
        <w:t>607</w:t>
      </w:r>
      <w:r w:rsidRPr="002F4F97">
        <w:rPr>
          <w:rFonts w:ascii="Times New Roman" w:hAnsi="Times New Roman"/>
          <w:sz w:val="28"/>
          <w:szCs w:val="28"/>
          <w:lang w:val="uk-UA"/>
        </w:rPr>
        <w:t> </w:t>
      </w:r>
      <w:r>
        <w:rPr>
          <w:rFonts w:ascii="Times New Roman" w:hAnsi="Times New Roman"/>
          <w:sz w:val="28"/>
          <w:szCs w:val="28"/>
          <w:lang w:val="uk-UA"/>
        </w:rPr>
        <w:t>419</w:t>
      </w:r>
      <w:r w:rsidRPr="002F4F97">
        <w:rPr>
          <w:rFonts w:ascii="Times New Roman" w:hAnsi="Times New Roman"/>
          <w:sz w:val="28"/>
          <w:szCs w:val="28"/>
          <w:lang w:val="uk-UA"/>
        </w:rPr>
        <w:t>,</w:t>
      </w:r>
      <w:r>
        <w:rPr>
          <w:rFonts w:ascii="Times New Roman" w:hAnsi="Times New Roman"/>
          <w:sz w:val="28"/>
          <w:szCs w:val="28"/>
          <w:lang w:val="uk-UA"/>
        </w:rPr>
        <w:t>5</w:t>
      </w:r>
      <w:r w:rsidRPr="002F4F97">
        <w:rPr>
          <w:rFonts w:ascii="Times New Roman" w:hAnsi="Times New Roman"/>
          <w:sz w:val="28"/>
          <w:szCs w:val="28"/>
          <w:lang w:val="uk-UA"/>
        </w:rPr>
        <w:t xml:space="preserve"> тис. грн., що більше минулорічного показника</w:t>
      </w:r>
      <w:r>
        <w:rPr>
          <w:rFonts w:ascii="Times New Roman" w:hAnsi="Times New Roman"/>
          <w:sz w:val="28"/>
          <w:szCs w:val="28"/>
          <w:lang w:val="uk-UA"/>
        </w:rPr>
        <w:t xml:space="preserve"> на 41,21%</w:t>
      </w:r>
      <w:r w:rsidRPr="002F4F97">
        <w:rPr>
          <w:rFonts w:ascii="Times New Roman" w:hAnsi="Times New Roman"/>
          <w:sz w:val="28"/>
          <w:szCs w:val="28"/>
          <w:lang w:val="uk-UA"/>
        </w:rPr>
        <w:t xml:space="preserve">. Обсяг реалізованої промислової продукції (товарів, послуг) без ПДВ та акцизу у відсотках до всієї реалізованої продукції в Луганській області складає </w:t>
      </w:r>
      <w:r>
        <w:rPr>
          <w:rFonts w:ascii="Times New Roman" w:hAnsi="Times New Roman"/>
          <w:sz w:val="28"/>
          <w:szCs w:val="28"/>
          <w:lang w:val="uk-UA"/>
        </w:rPr>
        <w:t>7,1</w:t>
      </w:r>
      <w:r w:rsidRPr="002F4F97">
        <w:rPr>
          <w:rFonts w:ascii="Times New Roman" w:hAnsi="Times New Roman"/>
          <w:sz w:val="28"/>
          <w:szCs w:val="28"/>
          <w:lang w:val="uk-UA"/>
        </w:rPr>
        <w:t>%.</w:t>
      </w:r>
    </w:p>
    <w:p w:rsidR="00497C3E" w:rsidRPr="002F4F97" w:rsidRDefault="00497C3E" w:rsidP="00485B04">
      <w:pPr>
        <w:spacing w:after="0" w:line="240" w:lineRule="auto"/>
        <w:ind w:firstLine="709"/>
        <w:jc w:val="center"/>
        <w:outlineLvl w:val="0"/>
        <w:rPr>
          <w:rFonts w:ascii="Times New Roman" w:hAnsi="Times New Roman"/>
          <w:b/>
          <w:sz w:val="28"/>
          <w:szCs w:val="28"/>
          <w:lang w:val="uk-UA"/>
        </w:rPr>
      </w:pPr>
      <w:r w:rsidRPr="002F4F97">
        <w:rPr>
          <w:rFonts w:ascii="Times New Roman" w:hAnsi="Times New Roman"/>
          <w:b/>
          <w:sz w:val="28"/>
          <w:szCs w:val="28"/>
          <w:lang w:val="uk-UA"/>
        </w:rPr>
        <w:t>Обсяг реалізованої промислової продукції по м. Лисичанську</w:t>
      </w:r>
    </w:p>
    <w:p w:rsidR="00497C3E" w:rsidRPr="002F4F97" w:rsidRDefault="00497C3E" w:rsidP="00135E30">
      <w:pPr>
        <w:spacing w:after="0" w:line="240" w:lineRule="auto"/>
        <w:ind w:firstLine="709"/>
        <w:jc w:val="center"/>
        <w:rPr>
          <w:rFonts w:ascii="Times New Roman" w:hAnsi="Times New Roman"/>
          <w:b/>
          <w:sz w:val="28"/>
          <w:szCs w:val="28"/>
          <w:lang w:val="uk-UA"/>
        </w:rPr>
      </w:pPr>
      <w:r w:rsidRPr="002F4F97">
        <w:rPr>
          <w:rFonts w:ascii="Times New Roman" w:hAnsi="Times New Roman"/>
          <w:b/>
          <w:sz w:val="28"/>
          <w:szCs w:val="28"/>
          <w:lang w:val="uk-UA"/>
        </w:rPr>
        <w:t>за 2013 – 2018 роки</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59"/>
        <w:gridCol w:w="950"/>
        <w:gridCol w:w="950"/>
        <w:gridCol w:w="950"/>
        <w:gridCol w:w="950"/>
        <w:gridCol w:w="1056"/>
        <w:gridCol w:w="1056"/>
      </w:tblGrid>
      <w:tr w:rsidR="00497C3E" w:rsidRPr="002F4F97" w:rsidTr="003220D5">
        <w:trPr>
          <w:trHeight w:val="20"/>
          <w:jc w:val="center"/>
        </w:trPr>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Показник</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2013 р.</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2014 р.</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2015 р.</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2016 р.</w:t>
            </w:r>
          </w:p>
        </w:tc>
        <w:tc>
          <w:tcPr>
            <w:tcW w:w="0" w:type="auto"/>
            <w:vAlign w:val="center"/>
          </w:tcPr>
          <w:p w:rsidR="00497C3E" w:rsidRPr="002F4F97" w:rsidRDefault="00497C3E" w:rsidP="001A0EB8">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2017 р.</w:t>
            </w:r>
          </w:p>
        </w:tc>
        <w:tc>
          <w:tcPr>
            <w:tcW w:w="0" w:type="auto"/>
            <w:vAlign w:val="center"/>
          </w:tcPr>
          <w:p w:rsidR="00497C3E" w:rsidRPr="002F4F97" w:rsidRDefault="00497C3E" w:rsidP="00C3558E">
            <w:pPr>
              <w:spacing w:after="0" w:line="240" w:lineRule="auto"/>
              <w:jc w:val="center"/>
              <w:rPr>
                <w:rFonts w:ascii="Times New Roman" w:hAnsi="Times New Roman"/>
                <w:b/>
                <w:sz w:val="24"/>
                <w:szCs w:val="24"/>
                <w:lang w:val="uk-UA"/>
              </w:rPr>
            </w:pPr>
            <w:r w:rsidRPr="002F4F97">
              <w:rPr>
                <w:rFonts w:ascii="Times New Roman" w:hAnsi="Times New Roman"/>
                <w:b/>
                <w:sz w:val="24"/>
                <w:szCs w:val="24"/>
                <w:lang w:val="uk-UA"/>
              </w:rPr>
              <w:t>2018 р.</w:t>
            </w:r>
          </w:p>
        </w:tc>
      </w:tr>
      <w:tr w:rsidR="00497C3E" w:rsidRPr="002F4F97" w:rsidTr="003220D5">
        <w:trPr>
          <w:trHeight w:val="20"/>
          <w:jc w:val="center"/>
        </w:trPr>
        <w:tc>
          <w:tcPr>
            <w:tcW w:w="0" w:type="auto"/>
            <w:vAlign w:val="center"/>
          </w:tcPr>
          <w:p w:rsidR="00497C3E" w:rsidRPr="002F4F97" w:rsidRDefault="00497C3E" w:rsidP="001C5BCD">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Обсяг реалізованої промислової продукції (млн. грн.)</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563,1</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471,7</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727,82</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885,14</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1 138,28</w:t>
            </w:r>
          </w:p>
        </w:tc>
        <w:tc>
          <w:tcPr>
            <w:tcW w:w="0" w:type="auto"/>
            <w:vAlign w:val="bottom"/>
          </w:tcPr>
          <w:p w:rsidR="00497C3E" w:rsidRPr="002F4F97" w:rsidRDefault="00497C3E" w:rsidP="00C3558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1 </w:t>
            </w:r>
            <w:r>
              <w:rPr>
                <w:rFonts w:ascii="Times New Roman" w:hAnsi="Times New Roman"/>
                <w:sz w:val="24"/>
                <w:szCs w:val="24"/>
                <w:lang w:val="uk-UA"/>
              </w:rPr>
              <w:t>607</w:t>
            </w:r>
            <w:r w:rsidRPr="002F4F97">
              <w:rPr>
                <w:rFonts w:ascii="Times New Roman" w:hAnsi="Times New Roman"/>
                <w:sz w:val="24"/>
                <w:szCs w:val="24"/>
                <w:lang w:val="uk-UA"/>
              </w:rPr>
              <w:t>,</w:t>
            </w:r>
            <w:r>
              <w:rPr>
                <w:rFonts w:ascii="Times New Roman" w:hAnsi="Times New Roman"/>
                <w:sz w:val="24"/>
                <w:szCs w:val="24"/>
                <w:lang w:val="uk-UA"/>
              </w:rPr>
              <w:t>42</w:t>
            </w:r>
          </w:p>
        </w:tc>
      </w:tr>
      <w:tr w:rsidR="00497C3E" w:rsidRPr="002F4F97" w:rsidTr="003220D5">
        <w:trPr>
          <w:trHeight w:val="20"/>
          <w:jc w:val="center"/>
        </w:trPr>
        <w:tc>
          <w:tcPr>
            <w:tcW w:w="0" w:type="auto"/>
            <w:vAlign w:val="center"/>
          </w:tcPr>
          <w:p w:rsidR="00497C3E" w:rsidRPr="002F4F97" w:rsidRDefault="00497C3E" w:rsidP="001C5BCD">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Питома вага реалізованої продукції до загального обсягу реалізованої продукції по Луганській обл. (%)</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0,8</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1,0</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2,9</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2,4</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4,9</w:t>
            </w:r>
          </w:p>
        </w:tc>
        <w:tc>
          <w:tcPr>
            <w:tcW w:w="0" w:type="auto"/>
            <w:vAlign w:val="bottom"/>
          </w:tcPr>
          <w:p w:rsidR="00497C3E" w:rsidRPr="002F4F97" w:rsidRDefault="00497C3E" w:rsidP="00164BE0">
            <w:pPr>
              <w:spacing w:after="0" w:line="240" w:lineRule="auto"/>
              <w:jc w:val="right"/>
              <w:rPr>
                <w:rFonts w:ascii="Times New Roman" w:hAnsi="Times New Roman"/>
                <w:sz w:val="24"/>
                <w:szCs w:val="24"/>
                <w:lang w:val="uk-UA"/>
              </w:rPr>
            </w:pPr>
            <w:r>
              <w:rPr>
                <w:rFonts w:ascii="Times New Roman" w:hAnsi="Times New Roman"/>
                <w:sz w:val="24"/>
                <w:szCs w:val="24"/>
                <w:lang w:val="uk-UA"/>
              </w:rPr>
              <w:t>7,1</w:t>
            </w:r>
          </w:p>
        </w:tc>
      </w:tr>
    </w:tbl>
    <w:p w:rsidR="00497C3E" w:rsidRDefault="00497C3E" w:rsidP="002C150E">
      <w:pPr>
        <w:spacing w:after="0" w:line="240" w:lineRule="auto"/>
        <w:ind w:firstLine="709"/>
        <w:jc w:val="both"/>
        <w:rPr>
          <w:noProof/>
          <w:lang w:val="uk-UA" w:eastAsia="ru-RU"/>
        </w:rPr>
      </w:pPr>
    </w:p>
    <w:p w:rsidR="00497C3E" w:rsidRDefault="001F335C" w:rsidP="002C150E">
      <w:pPr>
        <w:spacing w:after="0" w:line="240" w:lineRule="auto"/>
        <w:ind w:firstLine="709"/>
        <w:jc w:val="both"/>
        <w:rPr>
          <w:noProof/>
          <w:lang w:val="uk-UA" w:eastAsia="ru-RU"/>
        </w:rPr>
      </w:pPr>
      <w:r>
        <w:rPr>
          <w:noProof/>
          <w:lang w:val="en-US"/>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1" o:spid="_x0000_s1026" type="#_x0000_t75" style="position:absolute;left:0;text-align:left;margin-left:0;margin-top:-.5pt;width:399.35pt;height:260.6pt;z-index:1;visibility:visible;mso-wrap-distance-bottom:.02133mm;mso-position-horizontal:center"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">
            <v:imagedata r:id="rId8" o:title=""/>
            <o:lock v:ext="edit" aspectratio="f"/>
            <w10:wrap type="topAndBottom"/>
          </v:shape>
        </w:pict>
      </w:r>
    </w:p>
    <w:p w:rsidR="00497C3E" w:rsidRPr="002F4F97" w:rsidRDefault="00497C3E" w:rsidP="00CB205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Кількість зареєстрованих фізичних осіб-підприємців в м. Лисичанську має тенденцію до зростання. Станом на 01.01.2019 було зареєстровано 4 791 ФОП, що на 384 особи, або на 8,71% більше ніж на 01.01.2018, планові показники були перевищені на 10,65%. Надходження до бюджетів усіх рівнів від фізичних осіб-підприємців за рік зросли на 23,61%, та склали 40,3 млн. грн.</w:t>
      </w:r>
    </w:p>
    <w:p w:rsidR="00497C3E" w:rsidRPr="002F4F97" w:rsidRDefault="00497C3E" w:rsidP="00D0627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Інфраструктура споживчого ринку міста станом на 01.01.2019 налічує 661 об’єкт роздрібної торгівлі, в тому числі продовольчих магазинів 231 од., непродовольчих магазинів 289 од., 127 об’єктів дрібно-роздрібної торгівлі, 14 автозаправних станцій, 88 закладів ресторанного господарства, 177 підприємств сфери побутових послуг. У насиченості внутрішнього ринку та у задоволенні потреб населення у продуктах харчування значне місце належить ринкам, яких в місті налічується</w:t>
      </w:r>
      <w:r w:rsidR="00F116D4">
        <w:rPr>
          <w:rFonts w:ascii="Times New Roman" w:hAnsi="Times New Roman"/>
          <w:sz w:val="28"/>
          <w:szCs w:val="28"/>
          <w:lang w:val="uk-UA"/>
        </w:rPr>
        <w:t xml:space="preserve"> 7 та 3 торгівельних майданчика.</w:t>
      </w:r>
    </w:p>
    <w:p w:rsidR="00497C3E" w:rsidRPr="002F4F97" w:rsidRDefault="00497C3E" w:rsidP="0050442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загальний фонд міського бюджету за 2018 рік надійшло 831 904 517,61 грн., або 101,4% до плану за вказаний період, у тому числі власних надходжень 251 620 939,22 грн., або 105,6%, субвенцій з державного бюджету 187 498 200,0 грн., або 100%, базової дотації – 33 112 700 грн., або 100%, дотацій з місцевого бюджету – 351 400,00 грн., або 100%, субвенцій з місцевого бюджету – 359 321 278,39 грн, або 99,4%.</w:t>
      </w:r>
    </w:p>
    <w:p w:rsidR="00497C3E" w:rsidRPr="002F4F97" w:rsidRDefault="00497C3E" w:rsidP="0050442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порівнянні з відповідним періодом минулого року обсяг надходжень до загального фонду власних доходів збільшився на 17,5%, або 37 522 037,03 грн., базової дотації з державного бюджету отримано більше на 28 860 100 грн., або в 7,8 раз, обсяг отриманих субвенцій з державного та місцевих бюджетів, дотацій з місцевого бюджету збільшився на 67 633 509,84 грн., або на 14,1%.</w:t>
      </w:r>
    </w:p>
    <w:p w:rsidR="00497C3E" w:rsidRPr="002F4F97" w:rsidRDefault="00497C3E" w:rsidP="0050442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спеціальний фонд власних надходжень надійшло 20 188 136,67 грн. або 102,9% до річного плану 2018 року, та 2 403 668,0 грн. субвенцій з місцевого бюджету. По видатковій частині загального фонду у порівнянні з відповідним періодом минулого року обсяги фінансування збільшені на 104 334 002,82 грн. або на 14,9%. По спеціальному фонду видатки скоротилися на 34 915 435,02 грн. або 39,6%.</w:t>
      </w:r>
    </w:p>
    <w:p w:rsidR="00497C3E" w:rsidRPr="002F4F97" w:rsidRDefault="00497C3E" w:rsidP="00910B03">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Враховуючи те, що на теперішній час міський бюджет не в повному обсязі задовольняє потреби бюджетних установ та комунальних підприємств у видатках по утриманню міста, Лисичанська міська рада веде активну роботу щодо залучення додаткових коштів для виконання проектів розвитку.</w:t>
      </w:r>
    </w:p>
    <w:p w:rsidR="00497C3E" w:rsidRPr="002F4F97" w:rsidRDefault="00497C3E" w:rsidP="001443D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конкурс проектів, які можуть реалізовуватися за рахунок коштів Державного фонду регіонального розвитку у 2018 році бу</w:t>
      </w:r>
      <w:r w:rsidR="00530B0D">
        <w:rPr>
          <w:rFonts w:ascii="Times New Roman" w:hAnsi="Times New Roman"/>
          <w:sz w:val="28"/>
          <w:szCs w:val="28"/>
          <w:lang w:val="uk-UA"/>
        </w:rPr>
        <w:t>ло</w:t>
      </w:r>
      <w:r w:rsidRPr="002F4F97">
        <w:rPr>
          <w:rFonts w:ascii="Times New Roman" w:hAnsi="Times New Roman"/>
          <w:sz w:val="28"/>
          <w:szCs w:val="28"/>
          <w:lang w:val="uk-UA"/>
        </w:rPr>
        <w:t xml:space="preserve"> подан</w:t>
      </w:r>
      <w:r w:rsidR="00530B0D">
        <w:rPr>
          <w:rFonts w:ascii="Times New Roman" w:hAnsi="Times New Roman"/>
          <w:sz w:val="28"/>
          <w:szCs w:val="28"/>
          <w:lang w:val="uk-UA"/>
        </w:rPr>
        <w:t>о</w:t>
      </w:r>
      <w:r w:rsidRPr="002F4F97">
        <w:rPr>
          <w:rFonts w:ascii="Times New Roman" w:hAnsi="Times New Roman"/>
          <w:sz w:val="28"/>
          <w:szCs w:val="28"/>
          <w:lang w:val="uk-UA"/>
        </w:rPr>
        <w:t xml:space="preserve"> 17 проектів на загальну суму близько 380 млн. грн. У 2018 році за рахунок коштів ДФРР підрозділами Луганської ОДА виконувались проекти «Реконструкція (термомодернізація) будівлі Лисичанської загальноосвітньої школа І-ІІІ ступенів № 14 по вул. Гарибальді, 13 (санація будівлі)», «Капітальний ремонт автодороги по вул. К. Маркса в м. Лисичанську», «Реконструкція двох Білогорівських магістральних водовдів Ду 600 мм та Ду 500 мм протяжністю 10,8 км кожної ділянки». Робота щодо участі в зазначеному конкурсі продовжується.</w:t>
      </w:r>
    </w:p>
    <w:p w:rsidR="00497C3E" w:rsidRPr="002F4F97" w:rsidRDefault="00497C3E" w:rsidP="00910B03">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Крім того, міська рада активно співпрацює з великою кількістю міжнародних організацій, таких як Агентство США з міжнародного розвитку (USAID), ЮНІСЕФ, Норвезька рада у справах біженців, Програма розвитку ООН, GIZ, Глобальний фонд боротьби зі СНІДом, туберкульозом та малярією, Міжнародна організація Help Age International, Міжнародна організація з міграції.</w:t>
      </w:r>
    </w:p>
    <w:p w:rsidR="00497C3E" w:rsidRPr="002F4F97" w:rsidRDefault="00497C3E" w:rsidP="00910B03">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Обсяг технічної допомоги у 2017 році становив орієнтовно 7,730 млн. грн. Переважну частину цієї суми складають кошти, витрачені на ремонт будівель приватної форми власності, які постраждали у 2014 році під час проведення активної фази АТО у м. Лисичанську. У 2018 році продовжувались відновлювальні роботи на житлових об’єктах приватної форми власності. Орієнтовний обсяг допомоги у 2018 році склав 6,176 млн. грн.</w:t>
      </w:r>
      <w:r w:rsidR="00E54FA5">
        <w:rPr>
          <w:rFonts w:ascii="Times New Roman" w:hAnsi="Times New Roman"/>
          <w:sz w:val="28"/>
          <w:szCs w:val="28"/>
          <w:lang w:val="uk-UA"/>
        </w:rPr>
        <w:t xml:space="preserve"> 64,9% МТД приходиться на покращення матеріально-технічної бази ЛКСП «Лисичанськводоканал» у вигляді гуманітарної допомоги від ЮНІСЕФ (колісний екскаватор </w:t>
      </w:r>
      <w:r w:rsidR="00E54FA5">
        <w:rPr>
          <w:rFonts w:ascii="Times New Roman" w:hAnsi="Times New Roman"/>
          <w:sz w:val="28"/>
          <w:szCs w:val="28"/>
          <w:lang w:val="en-US"/>
        </w:rPr>
        <w:t>JCB</w:t>
      </w:r>
      <w:r w:rsidR="00E54FA5" w:rsidRPr="00E54FA5">
        <w:rPr>
          <w:rFonts w:ascii="Times New Roman" w:hAnsi="Times New Roman"/>
          <w:sz w:val="28"/>
          <w:szCs w:val="28"/>
          <w:lang w:val="uk-UA"/>
        </w:rPr>
        <w:t xml:space="preserve"> </w:t>
      </w:r>
      <w:r w:rsidR="00E54FA5">
        <w:rPr>
          <w:rFonts w:ascii="Times New Roman" w:hAnsi="Times New Roman"/>
          <w:sz w:val="28"/>
          <w:szCs w:val="28"/>
          <w:lang w:val="en-US"/>
        </w:rPr>
        <w:t>IS</w:t>
      </w:r>
      <w:r w:rsidR="00E54FA5" w:rsidRPr="00E54FA5">
        <w:rPr>
          <w:rFonts w:ascii="Times New Roman" w:hAnsi="Times New Roman"/>
          <w:sz w:val="28"/>
          <w:szCs w:val="28"/>
          <w:lang w:val="uk-UA"/>
        </w:rPr>
        <w:t xml:space="preserve"> 160</w:t>
      </w:r>
      <w:r w:rsidR="00E54FA5">
        <w:rPr>
          <w:rFonts w:ascii="Times New Roman" w:hAnsi="Times New Roman"/>
          <w:sz w:val="28"/>
          <w:szCs w:val="28"/>
          <w:lang w:val="en-US"/>
        </w:rPr>
        <w:t>W</w:t>
      </w:r>
      <w:r w:rsidR="00E54FA5">
        <w:rPr>
          <w:rFonts w:ascii="Times New Roman" w:hAnsi="Times New Roman"/>
          <w:sz w:val="28"/>
          <w:szCs w:val="28"/>
          <w:lang w:val="uk-UA"/>
        </w:rPr>
        <w:t xml:space="preserve">, </w:t>
      </w:r>
      <w:r w:rsidR="003A31D6">
        <w:rPr>
          <w:rFonts w:ascii="Times New Roman" w:hAnsi="Times New Roman"/>
          <w:sz w:val="28"/>
          <w:szCs w:val="28"/>
          <w:lang w:val="uk-UA"/>
        </w:rPr>
        <w:t>1114 м труби ПЕ 100</w:t>
      </w:r>
      <w:r w:rsidR="00E54FA5">
        <w:rPr>
          <w:rFonts w:ascii="Times New Roman" w:hAnsi="Times New Roman"/>
          <w:sz w:val="28"/>
          <w:szCs w:val="28"/>
          <w:lang w:val="uk-UA"/>
        </w:rPr>
        <w:t>)</w:t>
      </w:r>
      <w:r w:rsidR="003A31D6">
        <w:rPr>
          <w:rFonts w:ascii="Times New Roman" w:hAnsi="Times New Roman"/>
          <w:sz w:val="28"/>
          <w:szCs w:val="28"/>
          <w:lang w:val="uk-UA"/>
        </w:rPr>
        <w:t xml:space="preserve"> та 27,1% ремонт і відбудова житла постраждалого під час бойових дій в 2014 р., що виконується за сприянням Норвезької ради у справах біженців.</w:t>
      </w:r>
    </w:p>
    <w:p w:rsidR="00497C3E" w:rsidRPr="002F4F97" w:rsidRDefault="00497C3E" w:rsidP="002C15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eastAsia="ru-RU"/>
        </w:rPr>
        <w:t>Станом на 01.</w:t>
      </w:r>
      <w:r>
        <w:rPr>
          <w:rFonts w:ascii="Times New Roman" w:hAnsi="Times New Roman"/>
          <w:sz w:val="28"/>
          <w:szCs w:val="28"/>
          <w:lang w:val="uk-UA" w:eastAsia="ru-RU"/>
        </w:rPr>
        <w:t>01</w:t>
      </w:r>
      <w:r w:rsidRPr="002F4F97">
        <w:rPr>
          <w:rFonts w:ascii="Times New Roman" w:hAnsi="Times New Roman"/>
          <w:sz w:val="28"/>
          <w:szCs w:val="28"/>
          <w:lang w:val="uk-UA" w:eastAsia="ru-RU"/>
        </w:rPr>
        <w:t>.201</w:t>
      </w:r>
      <w:r>
        <w:rPr>
          <w:rFonts w:ascii="Times New Roman" w:hAnsi="Times New Roman"/>
          <w:sz w:val="28"/>
          <w:szCs w:val="28"/>
          <w:lang w:val="uk-UA" w:eastAsia="ru-RU"/>
        </w:rPr>
        <w:t>9</w:t>
      </w:r>
      <w:r w:rsidRPr="002F4F97">
        <w:rPr>
          <w:rFonts w:ascii="Times New Roman" w:hAnsi="Times New Roman"/>
          <w:sz w:val="28"/>
          <w:szCs w:val="28"/>
          <w:lang w:val="uk-UA" w:eastAsia="ru-RU"/>
        </w:rPr>
        <w:t xml:space="preserve"> чисельність наявного населення міст Лисичанська, Новодружеська та Привілля становила 111 </w:t>
      </w:r>
      <w:r>
        <w:rPr>
          <w:rFonts w:ascii="Times New Roman" w:hAnsi="Times New Roman"/>
          <w:sz w:val="28"/>
          <w:szCs w:val="28"/>
          <w:lang w:val="uk-UA" w:eastAsia="ru-RU"/>
        </w:rPr>
        <w:t>270</w:t>
      </w:r>
      <w:r w:rsidRPr="002F4F97">
        <w:rPr>
          <w:rFonts w:ascii="Times New Roman" w:hAnsi="Times New Roman"/>
          <w:sz w:val="28"/>
          <w:szCs w:val="28"/>
          <w:lang w:val="uk-UA" w:eastAsia="ru-RU"/>
        </w:rPr>
        <w:t xml:space="preserve"> осіб, що на 1 3</w:t>
      </w:r>
      <w:r>
        <w:rPr>
          <w:rFonts w:ascii="Times New Roman" w:hAnsi="Times New Roman"/>
          <w:sz w:val="28"/>
          <w:szCs w:val="28"/>
          <w:lang w:val="uk-UA" w:eastAsia="ru-RU"/>
        </w:rPr>
        <w:t>00</w:t>
      </w:r>
      <w:r w:rsidRPr="002F4F97">
        <w:rPr>
          <w:rFonts w:ascii="Times New Roman" w:hAnsi="Times New Roman"/>
          <w:sz w:val="28"/>
          <w:szCs w:val="28"/>
          <w:lang w:val="uk-UA" w:eastAsia="ru-RU"/>
        </w:rPr>
        <w:t xml:space="preserve"> осіб або на 1,1</w:t>
      </w:r>
      <w:r>
        <w:rPr>
          <w:rFonts w:ascii="Times New Roman" w:hAnsi="Times New Roman"/>
          <w:sz w:val="28"/>
          <w:szCs w:val="28"/>
          <w:lang w:val="uk-UA" w:eastAsia="ru-RU"/>
        </w:rPr>
        <w:t>5</w:t>
      </w:r>
      <w:r w:rsidRPr="002F4F97">
        <w:rPr>
          <w:rFonts w:ascii="Times New Roman" w:hAnsi="Times New Roman"/>
          <w:sz w:val="28"/>
          <w:szCs w:val="28"/>
          <w:lang w:val="uk-UA" w:eastAsia="ru-RU"/>
        </w:rPr>
        <w:t>% менше ніж у 2017 р</w:t>
      </w:r>
      <w:r>
        <w:rPr>
          <w:rFonts w:ascii="Times New Roman" w:hAnsi="Times New Roman"/>
          <w:sz w:val="28"/>
          <w:szCs w:val="28"/>
          <w:lang w:val="uk-UA" w:eastAsia="ru-RU"/>
        </w:rPr>
        <w:t>.</w:t>
      </w:r>
    </w:p>
    <w:p w:rsidR="00497C3E" w:rsidRPr="002F4F97" w:rsidRDefault="00497C3E" w:rsidP="002C15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Середньомісячна заробітна плата за I</w:t>
      </w:r>
      <w:r>
        <w:rPr>
          <w:rFonts w:ascii="Times New Roman" w:hAnsi="Times New Roman"/>
          <w:sz w:val="28"/>
          <w:szCs w:val="28"/>
          <w:lang w:val="en-US"/>
        </w:rPr>
        <w:t>V</w:t>
      </w:r>
      <w:r w:rsidRPr="002F4F97">
        <w:rPr>
          <w:rFonts w:ascii="Times New Roman" w:hAnsi="Times New Roman"/>
          <w:sz w:val="28"/>
          <w:szCs w:val="28"/>
          <w:lang w:val="uk-UA"/>
        </w:rPr>
        <w:t xml:space="preserve"> квартал 2018 року склала </w:t>
      </w:r>
      <w:r w:rsidRPr="00CA3485">
        <w:rPr>
          <w:rFonts w:ascii="Times New Roman" w:hAnsi="Times New Roman"/>
          <w:sz w:val="28"/>
          <w:szCs w:val="28"/>
        </w:rPr>
        <w:t>7045</w:t>
      </w:r>
      <w:r>
        <w:rPr>
          <w:rFonts w:ascii="Times New Roman" w:hAnsi="Times New Roman"/>
          <w:sz w:val="28"/>
          <w:szCs w:val="28"/>
          <w:lang w:val="uk-UA"/>
        </w:rPr>
        <w:t> грн., що склало 89,</w:t>
      </w:r>
      <w:r w:rsidRPr="00CA3485">
        <w:rPr>
          <w:rFonts w:ascii="Times New Roman" w:hAnsi="Times New Roman"/>
          <w:sz w:val="28"/>
          <w:szCs w:val="28"/>
        </w:rPr>
        <w:t>8</w:t>
      </w:r>
      <w:r w:rsidRPr="002F4F97">
        <w:rPr>
          <w:rFonts w:ascii="Times New Roman" w:hAnsi="Times New Roman"/>
          <w:sz w:val="28"/>
          <w:szCs w:val="28"/>
          <w:lang w:val="uk-UA"/>
        </w:rPr>
        <w:t>% до середньої заробітної плати за даний період по області (в I</w:t>
      </w:r>
      <w:r>
        <w:rPr>
          <w:rFonts w:ascii="Times New Roman" w:hAnsi="Times New Roman"/>
          <w:sz w:val="28"/>
          <w:szCs w:val="28"/>
          <w:lang w:val="en-US"/>
        </w:rPr>
        <w:t>V</w:t>
      </w:r>
      <w:r w:rsidRPr="002F4F97">
        <w:rPr>
          <w:rFonts w:ascii="Times New Roman" w:hAnsi="Times New Roman"/>
          <w:sz w:val="28"/>
          <w:szCs w:val="28"/>
          <w:lang w:val="uk-UA"/>
        </w:rPr>
        <w:t xml:space="preserve"> кварталі 2018 року – </w:t>
      </w:r>
      <w:r>
        <w:rPr>
          <w:rFonts w:ascii="Times New Roman" w:hAnsi="Times New Roman"/>
          <w:sz w:val="28"/>
          <w:szCs w:val="28"/>
          <w:lang w:val="uk-UA"/>
        </w:rPr>
        <w:t>7</w:t>
      </w:r>
      <w:r w:rsidRPr="00CA3485">
        <w:rPr>
          <w:rFonts w:ascii="Times New Roman" w:hAnsi="Times New Roman"/>
          <w:sz w:val="28"/>
          <w:szCs w:val="28"/>
        </w:rPr>
        <w:t>841</w:t>
      </w:r>
      <w:r w:rsidRPr="002F4F97">
        <w:rPr>
          <w:rFonts w:ascii="Times New Roman" w:hAnsi="Times New Roman"/>
          <w:sz w:val="28"/>
          <w:szCs w:val="28"/>
          <w:lang w:val="uk-UA"/>
        </w:rPr>
        <w:t xml:space="preserve"> грн.). Середній розмір пенсії по місту станом на 01.01.2019 складає 3 456,0 грн., що на 68,27 грн. або на 2,02% більше аналогічного показника на 01.01.2018. Річна потреба на виплату пенсій на 01.01.2019 склала 1 758 562,2 тис. грн. Процент</w:t>
      </w:r>
      <w:r w:rsidRPr="002F4F97">
        <w:rPr>
          <w:rFonts w:ascii="Times New Roman" w:hAnsi="Times New Roman"/>
          <w:color w:val="FF0000"/>
          <w:sz w:val="28"/>
          <w:szCs w:val="28"/>
          <w:lang w:val="uk-UA"/>
        </w:rPr>
        <w:t xml:space="preserve"> </w:t>
      </w:r>
      <w:r w:rsidRPr="002F4F97">
        <w:rPr>
          <w:rFonts w:ascii="Times New Roman" w:hAnsi="Times New Roman"/>
          <w:sz w:val="28"/>
          <w:szCs w:val="28"/>
          <w:lang w:val="uk-UA"/>
        </w:rPr>
        <w:t>забезпечення потреби на виплату пенсій за рахунок власних надходжень залишається низьким і на цю дату склав 1,06%.</w:t>
      </w:r>
    </w:p>
    <w:p w:rsidR="00497C3E" w:rsidRPr="002F4F97" w:rsidRDefault="00497C3E" w:rsidP="00D83460">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 місті в рамках єдиної технології соціального захисту населення надається 12 видів державної соціальної допомоги сім’ям з дітьми, які фінансуються за рахунок коштів державного бюджету; 1 одноразова допомога особам, які постраждали від торгівлі людьми, яка фінансується за рахунок державного бюджету; 1 одноразова винагорода жінкам, яким присвоєно почесне звання України «Мати-Героїня», яка фінансується за рахунок державного бюджету; 1 Державна соціальна допомога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яка фінансується за рахунок державного бюджету. За 2018 рік такою підтримкою скористалися 7,6 тис. осіб на загальну суму 113 227,0 тис. грн. Заборгованість по виплатам відсутня.</w:t>
      </w:r>
    </w:p>
    <w:p w:rsidR="00497C3E" w:rsidRPr="002F4F97" w:rsidRDefault="00497C3E" w:rsidP="00D83460">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 2018 рік житлова субсидія розрахована 21 тисячі домогосподарств на загальну суму 158 061,7 тис. грн.</w:t>
      </w:r>
    </w:p>
    <w:p w:rsidR="00497C3E" w:rsidRPr="002F4F97" w:rsidRDefault="00497C3E" w:rsidP="00D83460">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Підприємства, що надають житлово-комунальні послуги отримали фінансування з державного бюджету на загальну суму 202 705,1 тис. грн.</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Постановою КМУ від 26.04.2017 р. № 300 передбачено «монетизацію» частки невикористаної суми субсидії. У 2018 році 2194 заявника отримали «монетизацію» на загальну суму 1 358,8 тис. грн.</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Житловий фонд міст Лисичанська, Новодружеська, Привілля на 01.01.2019 налічує 1132 житлових будинки, загальною площею 1638,59 тис. кв. м, з яких 720 – це багатоквартирні будинки 2 та більше поверхів.</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Задля обслуговування житлово-комунального господарства міста функціонують 12 комунальних підприємств: КП ЛЖЕК №№ 1, 3, 5, 6, 8; ЛКСП «Лисичанськводоканал», КП «Лисичанськтепломережа», КП «Лиси- чанский Шляхрембуд», КП «Лисичанськміськсвітло», ЛКАТП 032806, КП «Лисичанська ритуальна служба», КП ЛМР «Електроавтотранс», які надають весь спектр житлово-комунальних послуг, послуги з благоустрою, а також послуги з перевезення пасажирів міським електро- та автотранспортом. Наразі на балансі спеціалізованих комунальних підприємств знаходяться:</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лінії зовнішнього освітлення, розташовані на 167 вулицях міста, в кількості 165 км (2 570 світлоточок), з яких лише 35% є у задовільному технічному стані, а 65% потребують капітального ремонту із заміною опор, проводів і світильників;</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- 12 одиниць засобів регулювання дорожнього руху (світлофорів), з яких 6 мають 100% знос і потребують термінової заміни;</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- 255,5 км автомобільних доріг, загальною площею 1728,6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з яких – 219,3 км площею 1 543,9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в асфальтобетоні, що становить 88,5% від загальної площі; 31,4 км площа 166,1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 бруківка; 4,8 км площею 18,6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 ґрунтових доріг. З 201 вулиці і автодороги, 80% вимагають термінового капітального та поточного ремонту. З 107 тротуарів і пішохідних доріжок 70% мають пошкоджене покриття. Мости і шляхопроводи не відповідають нормам експлуатації та потребують термінового ремонту;</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- 10 одиниць тролейбусів, з яких здатні надавати послуги лише 5. Середній термін використання наявних тролейбусів становить 17 років, при тому що норма експлуатації їх не має перевищувати 10 років;</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- 6 підземних водозаборів (загальна кількість свердловин 72, фактично в роботі 23), 14 водопровідних насосних станцій, 2742 водопровідних колодязя та 686,05 км водопровідних мереж, які розподіляють воду по всіх районах міста;</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- 17 каналізаційних насосних станцій, 226,8 км каналізаційних мереж, зношених в середньому на 82,44% або 187 км, та 4293 каналізаційних колодязя;</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- 27 газових котелень з 72 встановленими котлами та одна котельня на твердому паливі з 2-ма котлами, сумарна потужність яких складає 246 Гкал/год, які мають закриту систему теплопостачання. Протяжність теплових мереж від котелень складає 141,64 км в однотрубному обчисленні, у тому числі магістральні трубопроводи – 42 км; квартальні трубопроводи – 88 км; трубопроводи гарячої води – 11,64 км;</w:t>
      </w:r>
    </w:p>
    <w:p w:rsidR="00497C3E" w:rsidRPr="002F4F97" w:rsidRDefault="00497C3E" w:rsidP="00B0245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 ставок ВАТ «Лисичанський склозавод» площею 1,7 га, 10 скверів, 29 вуличних насаджень, на яких розташовано 60,5 га газонів, 1,8 га квітників, </w:t>
      </w:r>
      <w:r w:rsidRPr="002F4F97">
        <w:rPr>
          <w:rFonts w:ascii="Times New Roman" w:hAnsi="Times New Roman"/>
          <w:sz w:val="28"/>
          <w:szCs w:val="28"/>
          <w:lang w:val="uk-UA"/>
        </w:rPr>
        <w:lastRenderedPageBreak/>
        <w:t>678 чагарників, 5 122 дерев листяних порід та 727 хвойних, а також 166 садово-паркових лавок;</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- 1271 контейнери для тимчасового зберігання побутових відходів та 15 сміттєвозів. Зношеність автотранспорту складає 55,1%;</w:t>
      </w:r>
    </w:p>
    <w:p w:rsidR="00497C3E" w:rsidRPr="002F4F97" w:rsidRDefault="00497C3E" w:rsidP="000E7D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- 8 кладовищ, із яких 5 діючих;</w:t>
      </w:r>
    </w:p>
    <w:p w:rsidR="00497C3E" w:rsidRPr="002F4F97" w:rsidRDefault="00497C3E" w:rsidP="002C15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Заборгованість населення за житлово-комунальні послуги постійно зростає.</w:t>
      </w:r>
    </w:p>
    <w:p w:rsidR="00497C3E" w:rsidRPr="002F4F97" w:rsidRDefault="00497C3E" w:rsidP="00B512B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Система охорони здоров’я міста представлена мережею лікувально-профілактичних закладів, у тому числі: ЦМЛ ім. Тітова , Центр ПМСД №1, Центр ПМСД №2, Міська дитяча лікарня, Стоматологічна поліклініка. Починаючі з 2018 р. в місті розпочалась реформа системи охорони здоров’я. В місті проведено реорганізацію закладів охорони здоров’я, що надають первину медичну допомогу (створено КНП «Центр ПМСД №1» та КНП «Центр ПМСД №2»). Крім цього, на території мста розташовані лікувально-профілактичних заклади обласного підпорядкування: Лисичанська обласна психіатрична лікарня, Лисичанський обласний протитуберкульозний диспансер, Лисичанський обласний шкіряно-венерологічний диспансер, Станція швидкої медичної допомоги. В рамках сприяння розміщення обласних лікувально-профілактичних закладів, переміщених з окупованої території, функціонує Луганська обласна дитяча клінічна лікарня, відділення Луганського обласного кардіологічного диспансеру, травматологічне, урологічне відділення, відділення судинної хірургії Луганської обласної клінічної лікарні, Луганський обласний наркологічний диспансер.</w:t>
      </w:r>
    </w:p>
    <w:p w:rsidR="00497C3E" w:rsidRPr="002F4F97" w:rsidRDefault="00497C3E" w:rsidP="00B512B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Заклади охорони здоров’я міста знаходяться в зоні проведення ООС. Центральні міська лікарня в теперішній час надає медичну допомогу постраждалим від бойових дій, військовослужбовцям, працівникам МВС, вимушеним переселенцям, а також мешканцям населених пунктів Попаснянського району. Постійно зростає кількість пологів жінок, що мешкають на окупованій території та населених пунктів Попаснянського району.</w:t>
      </w:r>
    </w:p>
    <w:p w:rsidR="00497C3E" w:rsidRPr="002F4F97" w:rsidRDefault="00497C3E" w:rsidP="00CB659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Мережа закладів освіти м. Лисичанська у 2018 році складає 21 заклад загальної середньої освіти, 2 заклади позашкільної освіти, 16 закладів дошкільної освіти (з них 14 комунальної форми власності). Із числа закладів загальної середньої освіти: загальноосвітніх шкіл І-ІІ ступенів – 4; загальноосвітніх шкіл І-ІІІ ступенів – 17. У 2017/2018 навчальному році контингент учнів шкіл міста складав 8301 особу на 380 класів. На початок 2018/2019 навчального року у 368 класах навчається 8607 учнів, що свідчить про збереження контингенту учнів шкіл міста.</w:t>
      </w:r>
    </w:p>
    <w:p w:rsidR="00497C3E" w:rsidRPr="002F4F97" w:rsidRDefault="00497C3E" w:rsidP="00CB659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Дошкільна освіта в м. Лисичанськ представлена 16 закладами дошкільної освіти, з яких 2 – державної форми власності, 14 – комунальної форми власності. У складі КЗ «Лисичанський навчально-виховний комплекс загальноосвітня школа І-ІІІ ступенів № 3 – дошкільний навчальний заклад «Барвінок» функціонують дві групи для дітей дошкільного віку, їх відвідує 45 дітей. Всього у функціонуючих закладах дошкільної освіти виховується 2385 дітей у віці від 2 до 7 років.</w:t>
      </w:r>
    </w:p>
    <w:p w:rsidR="00497C3E" w:rsidRPr="002F4F97" w:rsidRDefault="00497C3E" w:rsidP="005030D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Мережа закладів культури складається з бібліотечної системи, до складу якої входять 10 бібліотек-філій; Лисичанського міського краєзнавчого музею; чотирьох дитячих шкіл мистецтв, трьох Палаців культури і кінотеатру «Дружба».</w:t>
      </w:r>
    </w:p>
    <w:p w:rsidR="00497C3E" w:rsidRPr="002F4F97" w:rsidRDefault="00497C3E" w:rsidP="00CB659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сфері фізичної культури та спорту на території міста функціонує 1 стадіон, 1 ДЮСШ, 3 спортивних комплекси, 41 спортивна зала, 1 плавальний басейн, спортивна культурно-оздоровча база «Лисичанець». Спортивна база міста складається з 234 спортивних об'єктів. Загалом у місті осіб, які охоплені фізкультурно-оздоровчою діяльністю 13 352 чол.</w:t>
      </w:r>
    </w:p>
    <w:p w:rsidR="00497C3E" w:rsidRPr="002F4F97" w:rsidRDefault="00497C3E" w:rsidP="00CB659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На базі спортивних споруд міста діють 100 спортивних секцій, в яких займається 5 873 чол., з них молоді та неповнолітніх 2 962 чол. </w:t>
      </w:r>
    </w:p>
    <w:p w:rsidR="00497C3E" w:rsidRPr="002F4F97" w:rsidRDefault="00497C3E" w:rsidP="005030D5">
      <w:pPr>
        <w:spacing w:after="0" w:line="240" w:lineRule="auto"/>
        <w:ind w:firstLine="709"/>
        <w:jc w:val="both"/>
        <w:rPr>
          <w:rFonts w:ascii="Times New Roman" w:hAnsi="Times New Roman"/>
          <w:sz w:val="28"/>
          <w:szCs w:val="28"/>
          <w:lang w:val="uk-UA"/>
        </w:rPr>
      </w:pPr>
    </w:p>
    <w:p w:rsidR="00497C3E" w:rsidRPr="002F4F97" w:rsidRDefault="00497C3E" w:rsidP="006974A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bookmarkStart w:id="2" w:name="o1284"/>
      <w:bookmarkEnd w:id="2"/>
      <w:r w:rsidRPr="002F4F97">
        <w:rPr>
          <w:rFonts w:ascii="Times New Roman" w:hAnsi="Times New Roman"/>
          <w:b/>
          <w:sz w:val="28"/>
          <w:szCs w:val="28"/>
          <w:lang w:val="uk-UA" w:eastAsia="ru-RU"/>
        </w:rPr>
        <w:t>Головні проблеми розвитку економіки і соціальної сфери</w:t>
      </w:r>
    </w:p>
    <w:p w:rsidR="00497C3E" w:rsidRPr="002F4F97" w:rsidRDefault="00497C3E" w:rsidP="00CB6596">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 достатність власних надходжень до бюджету міста;</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 надання у повному обсязі субвенції з державного бюджету на фінансування пільг, субсидій та інших програм соціального захисту населення;</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порушення енергетичної інфраструктури Луганської області;</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рівень бюджетного фінансування підприємств ПАО «Лисичанськвугілля», зокрема для здійснення операційної та інвестиційної діяльності вугледобувних підприємств;</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обсяг кредитування місцевих товаровиробників за пільговими програмами кредитування реального сектору економіки та споживчого кредитування;</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застарілість містобудівної документації;</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зменшення платоспроможності населення через падіння реальних доходів та зростання цін на споживчому ринку;</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вимушене зменшення кількості штатних працівників на підприємствах в результаті депресивних тенденцій в економіці міста та області;</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демографічна та міграційна криза;</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незадовільний стан інфраструктури міста та брак коштів на її поточне утримання;</w:t>
      </w:r>
    </w:p>
    <w:p w:rsidR="00497C3E" w:rsidRPr="002F4F97" w:rsidRDefault="00497C3E" w:rsidP="00DC325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збитковість комунальних підприємств.</w:t>
      </w:r>
    </w:p>
    <w:p w:rsidR="00497C3E" w:rsidRPr="002F4F97" w:rsidRDefault="00497C3E" w:rsidP="00CB6596">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F11D25">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sz w:val="28"/>
          <w:szCs w:val="28"/>
          <w:lang w:val="uk-UA" w:eastAsia="uk-UA"/>
        </w:rPr>
        <w:br w:type="page"/>
      </w:r>
      <w:bookmarkStart w:id="3" w:name="o1285"/>
      <w:bookmarkEnd w:id="3"/>
      <w:r w:rsidRPr="002F4F97">
        <w:rPr>
          <w:rFonts w:ascii="Times New Roman" w:hAnsi="Times New Roman"/>
          <w:b/>
          <w:sz w:val="28"/>
          <w:szCs w:val="28"/>
          <w:lang w:val="uk-UA" w:eastAsia="ru-RU"/>
        </w:rPr>
        <w:lastRenderedPageBreak/>
        <w:t>ЦІЛІ І ПРІОРИТЕТИ ЕКОНОМІЧНОГО І СОЦІАЛЬНОГО РОЗВИТКУ У 2019 РОЦІ</w:t>
      </w:r>
    </w:p>
    <w:p w:rsidR="00497C3E" w:rsidRPr="00F11D25" w:rsidRDefault="00497C3E" w:rsidP="00F11D25">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2C15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Головною метою виконання Програми є забезпечення найбільш повної реалізації економічного потенціалу і на цій основі зменшення впливу негативних соціально-економічних чинників, які мають місце в Лисичанську, на мешканців міста.</w:t>
      </w:r>
    </w:p>
    <w:p w:rsidR="00497C3E" w:rsidRPr="002F4F97" w:rsidRDefault="00497C3E" w:rsidP="002C150E">
      <w:pPr>
        <w:spacing w:after="0" w:line="240" w:lineRule="auto"/>
        <w:ind w:firstLine="709"/>
        <w:jc w:val="both"/>
        <w:rPr>
          <w:rFonts w:ascii="Times New Roman" w:hAnsi="Times New Roman"/>
          <w:sz w:val="28"/>
          <w:szCs w:val="28"/>
          <w:lang w:val="uk-UA"/>
        </w:rPr>
      </w:pPr>
    </w:p>
    <w:p w:rsidR="00497C3E" w:rsidRPr="002F4F97" w:rsidRDefault="00497C3E" w:rsidP="009B69A5">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bookmarkStart w:id="4" w:name="o1286"/>
      <w:bookmarkEnd w:id="4"/>
      <w:r w:rsidRPr="002F4F97">
        <w:rPr>
          <w:rFonts w:ascii="Times New Roman" w:hAnsi="Times New Roman"/>
          <w:b/>
          <w:sz w:val="28"/>
          <w:szCs w:val="28"/>
          <w:lang w:val="uk-UA" w:eastAsia="ru-RU"/>
        </w:rPr>
        <w:t>ФІНАНСОВІ РЕСУРСИ</w:t>
      </w:r>
      <w:bookmarkStart w:id="5" w:name="o1288"/>
      <w:bookmarkEnd w:id="5"/>
    </w:p>
    <w:p w:rsidR="00497C3E" w:rsidRPr="002F4F97" w:rsidRDefault="00497C3E" w:rsidP="00094496">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9B69A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Джерела формування</w:t>
      </w:r>
    </w:p>
    <w:p w:rsidR="00497C3E" w:rsidRPr="002F4F97" w:rsidRDefault="00497C3E" w:rsidP="00C51AFF">
      <w:pPr>
        <w:spacing w:after="0" w:line="240" w:lineRule="auto"/>
        <w:ind w:firstLine="709"/>
        <w:jc w:val="both"/>
        <w:rPr>
          <w:rFonts w:ascii="Times New Roman" w:hAnsi="Times New Roman"/>
          <w:sz w:val="28"/>
          <w:szCs w:val="28"/>
          <w:lang w:val="uk-UA"/>
        </w:rPr>
      </w:pPr>
    </w:p>
    <w:p w:rsidR="00497C3E" w:rsidRPr="002F4F97" w:rsidRDefault="00497C3E" w:rsidP="00C51AF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загальний фонд міського бюджету за 2018 рік надійшло 831 904 517,61 грн., або 101,4% до плану, у тому числі:</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власних надходжень 251 620 939,22 грн., або 105,6%;</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субвенцій з державного бюджету 187 498 200,00грн., або 100%;</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базової дотації – 33 112 700 грн., або 100%;</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дотацій з місцевого бюджету – 351 400,00 грн., або 100%;</w:t>
      </w:r>
    </w:p>
    <w:p w:rsidR="00497C3E" w:rsidRPr="002F4F97" w:rsidRDefault="00497C3E" w:rsidP="00C51AFF">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субвенцій з місцевого бюджету – 359 321 278,39 грн., або 99,4%.</w:t>
      </w:r>
    </w:p>
    <w:p w:rsidR="00497C3E" w:rsidRPr="002F4F97" w:rsidRDefault="00497C3E" w:rsidP="00C51AF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порівнянні з 2017 р. обсяг надходжень до загального фонду власних доходів збільшився на 17,5%, або на 37 522 037,03 грн., базової дотації з державного бюджету отримано більше на 28 860 100 грн., або в 7,8 раз, обсяг отриманих субвенцій з державного та місцевих бюджетів, дотацій з місцевого бюджету збільшився на 67 633 509,84 грн., або на 14,1%.</w:t>
      </w:r>
    </w:p>
    <w:p w:rsidR="00497C3E" w:rsidRPr="002F4F97" w:rsidRDefault="00497C3E" w:rsidP="00C51AF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спеціальний фонд власних надходжень надійшло 20 188 136,67 грн. або 102,9% до річного плану 2018 року, та 2 403 668,0 грн. субвенцій з місцевого бюджету.</w:t>
      </w:r>
    </w:p>
    <w:p w:rsidR="00497C3E" w:rsidRPr="002F4F97" w:rsidRDefault="00497C3E" w:rsidP="008E070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2019 рік заплановані доходи міського бюджету у сумі 817 775 648 грн., у тому числі доходи загального фонду бюджету 806 714 720 грн., доходи спеціального фонду бюджету 11 060 928 грн.</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дотаційність бюджету міста;</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погіршення фінансового стану суб’єктів господарювання і як наслідок недостатність обсягів надходжень податків і зборів (обов’язкових платежів) до бюджетів усіх рівнів для забезпечення утримання та розвитку об’єктів соціальної, гуманітарної сфери та комунальної інфраструктури.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надходжень до зведеного бюджету м. Лисичанська за всіма джерелами їх формування;</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ресурсне забезпечення виконання основних функцій і завдань органів місцевого самоврядування.</w:t>
      </w:r>
    </w:p>
    <w:p w:rsidR="00497C3E" w:rsidRPr="002F4F97" w:rsidRDefault="00497C3E" w:rsidP="00F11D25">
      <w:pPr>
        <w:tabs>
          <w:tab w:val="left" w:pos="1276"/>
        </w:tabs>
        <w:spacing w:after="0" w:line="240" w:lineRule="auto"/>
        <w:ind w:left="709"/>
        <w:jc w:val="both"/>
        <w:rPr>
          <w:rFonts w:ascii="Times New Roman" w:hAnsi="Times New Roman"/>
          <w:b/>
          <w:i/>
          <w:sz w:val="28"/>
          <w:szCs w:val="28"/>
          <w:lang w:val="uk-UA"/>
        </w:rPr>
      </w:pPr>
      <w:r w:rsidRPr="002F4F97">
        <w:rPr>
          <w:rFonts w:ascii="Times New Roman" w:hAnsi="Times New Roman"/>
          <w:sz w:val="28"/>
          <w:szCs w:val="28"/>
          <w:lang w:val="uk-UA"/>
        </w:rPr>
        <w:br w:type="page"/>
      </w:r>
      <w:r w:rsidRPr="002F4F97">
        <w:rPr>
          <w:rFonts w:ascii="Times New Roman" w:hAnsi="Times New Roman"/>
          <w:b/>
          <w:i/>
          <w:sz w:val="28"/>
          <w:szCs w:val="28"/>
          <w:lang w:val="uk-UA"/>
        </w:rPr>
        <w:lastRenderedPageBreak/>
        <w:t>Основні завдання:</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надходжень податків і зборів (обов’язкових платежів) до зведеного бюджету м. Лисичанська в обсягах, передбачених на 2019 рік;</w:t>
      </w:r>
    </w:p>
    <w:p w:rsidR="00497C3E" w:rsidRPr="002F4F97" w:rsidRDefault="00497C3E" w:rsidP="00252E3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стимулювання заходів щодо збільшення інвестиційно-інноваційної складової бюджету розвитку міського бюджету.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485B04">
      <w:pPr>
        <w:spacing w:after="0" w:line="240" w:lineRule="auto"/>
        <w:ind w:right="284"/>
        <w:jc w:val="center"/>
        <w:outlineLvl w:val="0"/>
        <w:rPr>
          <w:rFonts w:ascii="Times New Roman" w:hAnsi="Times New Roman"/>
          <w:b/>
          <w:sz w:val="28"/>
          <w:szCs w:val="28"/>
          <w:lang w:val="uk-UA"/>
        </w:rPr>
      </w:pPr>
      <w:r w:rsidRPr="002F4F97">
        <w:rPr>
          <w:rFonts w:ascii="Times New Roman" w:hAnsi="Times New Roman"/>
          <w:b/>
          <w:sz w:val="28"/>
          <w:szCs w:val="28"/>
          <w:lang w:val="uk-UA"/>
        </w:rPr>
        <w:t>Ресурси бюджетів, млн. грн.</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943"/>
        <w:gridCol w:w="1122"/>
        <w:gridCol w:w="1124"/>
        <w:gridCol w:w="1382"/>
      </w:tblGrid>
      <w:tr w:rsidR="00497C3E" w:rsidRPr="002F4F97" w:rsidTr="00D5360B">
        <w:trPr>
          <w:trHeight w:val="20"/>
          <w:jc w:val="center"/>
        </w:trPr>
        <w:tc>
          <w:tcPr>
            <w:tcW w:w="3105" w:type="pct"/>
            <w:vAlign w:val="center"/>
          </w:tcPr>
          <w:p w:rsidR="00497C3E" w:rsidRPr="002F4F97" w:rsidRDefault="00497C3E" w:rsidP="00676ED5">
            <w:pPr>
              <w:spacing w:after="0" w:line="240" w:lineRule="auto"/>
              <w:jc w:val="center"/>
              <w:rPr>
                <w:rFonts w:ascii="Times New Roman" w:hAnsi="Times New Roman"/>
                <w:b/>
                <w:sz w:val="28"/>
                <w:szCs w:val="28"/>
                <w:lang w:val="uk-UA"/>
              </w:rPr>
            </w:pPr>
            <w:r w:rsidRPr="002F4F97">
              <w:rPr>
                <w:rFonts w:ascii="Times New Roman" w:hAnsi="Times New Roman"/>
                <w:b/>
                <w:sz w:val="24"/>
                <w:szCs w:val="24"/>
                <w:lang w:val="uk-UA"/>
              </w:rPr>
              <w:t>Показник</w:t>
            </w:r>
          </w:p>
        </w:tc>
        <w:tc>
          <w:tcPr>
            <w:tcW w:w="586" w:type="pct"/>
            <w:vAlign w:val="center"/>
          </w:tcPr>
          <w:p w:rsidR="00497C3E" w:rsidRPr="002F4F97" w:rsidRDefault="00497C3E" w:rsidP="001C7CFA">
            <w:pPr>
              <w:spacing w:after="0" w:line="240" w:lineRule="auto"/>
              <w:jc w:val="center"/>
              <w:rPr>
                <w:rFonts w:ascii="Times New Roman" w:hAnsi="Times New Roman"/>
                <w:b/>
                <w:bCs/>
                <w:sz w:val="24"/>
                <w:szCs w:val="24"/>
                <w:lang w:val="uk-UA"/>
              </w:rPr>
            </w:pPr>
            <w:r w:rsidRPr="002F4F97">
              <w:rPr>
                <w:rFonts w:ascii="Times New Roman" w:hAnsi="Times New Roman"/>
                <w:b/>
                <w:bCs/>
                <w:sz w:val="24"/>
                <w:szCs w:val="24"/>
                <w:lang w:val="uk-UA"/>
              </w:rPr>
              <w:t>2017 р.</w:t>
            </w:r>
          </w:p>
        </w:tc>
        <w:tc>
          <w:tcPr>
            <w:tcW w:w="587" w:type="pct"/>
            <w:vAlign w:val="center"/>
          </w:tcPr>
          <w:p w:rsidR="00497C3E" w:rsidRPr="002F4F97" w:rsidRDefault="00497C3E" w:rsidP="001C7CFA">
            <w:pPr>
              <w:spacing w:after="0" w:line="240" w:lineRule="auto"/>
              <w:jc w:val="center"/>
              <w:rPr>
                <w:rFonts w:ascii="Times New Roman" w:hAnsi="Times New Roman"/>
                <w:b/>
                <w:lang w:val="uk-UA"/>
              </w:rPr>
            </w:pPr>
            <w:r w:rsidRPr="002F4F97">
              <w:rPr>
                <w:rFonts w:ascii="Times New Roman" w:hAnsi="Times New Roman"/>
                <w:b/>
                <w:bCs/>
                <w:sz w:val="24"/>
                <w:szCs w:val="24"/>
                <w:lang w:val="uk-UA"/>
              </w:rPr>
              <w:t>2018 р.</w:t>
            </w:r>
          </w:p>
        </w:tc>
        <w:tc>
          <w:tcPr>
            <w:tcW w:w="722" w:type="pct"/>
            <w:vAlign w:val="center"/>
          </w:tcPr>
          <w:p w:rsidR="00497C3E" w:rsidRPr="002F4F97" w:rsidRDefault="00497C3E" w:rsidP="001C7CFA">
            <w:pPr>
              <w:spacing w:after="0" w:line="240" w:lineRule="auto"/>
              <w:jc w:val="center"/>
              <w:rPr>
                <w:rFonts w:ascii="Times New Roman" w:hAnsi="Times New Roman"/>
                <w:b/>
                <w:bCs/>
                <w:sz w:val="24"/>
                <w:szCs w:val="24"/>
                <w:lang w:val="uk-UA"/>
              </w:rPr>
            </w:pPr>
            <w:r w:rsidRPr="002F4F97">
              <w:rPr>
                <w:rFonts w:ascii="Times New Roman" w:hAnsi="Times New Roman"/>
                <w:b/>
                <w:bCs/>
                <w:sz w:val="24"/>
                <w:szCs w:val="24"/>
                <w:lang w:val="uk-UA"/>
              </w:rPr>
              <w:t>2019 р. (прогноз)</w:t>
            </w:r>
          </w:p>
        </w:tc>
      </w:tr>
      <w:tr w:rsidR="00497C3E" w:rsidRPr="002F4F97" w:rsidTr="00D5360B">
        <w:trPr>
          <w:trHeight w:val="20"/>
          <w:jc w:val="center"/>
        </w:trPr>
        <w:tc>
          <w:tcPr>
            <w:tcW w:w="3105" w:type="pct"/>
            <w:vAlign w:val="center"/>
          </w:tcPr>
          <w:p w:rsidR="00497C3E" w:rsidRPr="002F4F97" w:rsidRDefault="00497C3E" w:rsidP="00C050ED">
            <w:pPr>
              <w:spacing w:after="0" w:line="240" w:lineRule="auto"/>
              <w:rPr>
                <w:rFonts w:ascii="Times New Roman" w:hAnsi="Times New Roman"/>
                <w:sz w:val="24"/>
                <w:szCs w:val="24"/>
                <w:lang w:val="uk-UA"/>
              </w:rPr>
            </w:pPr>
            <w:r w:rsidRPr="002F4F97">
              <w:rPr>
                <w:rFonts w:ascii="Times New Roman" w:hAnsi="Times New Roman"/>
                <w:sz w:val="24"/>
                <w:szCs w:val="24"/>
                <w:lang w:val="uk-UA"/>
              </w:rPr>
              <w:t>Надходження до місцевих бюджетів (без урахування дотацій та субвенцій)</w:t>
            </w:r>
          </w:p>
        </w:tc>
        <w:tc>
          <w:tcPr>
            <w:tcW w:w="586"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233,90</w:t>
            </w:r>
          </w:p>
        </w:tc>
        <w:tc>
          <w:tcPr>
            <w:tcW w:w="587"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251,62</w:t>
            </w:r>
          </w:p>
        </w:tc>
        <w:tc>
          <w:tcPr>
            <w:tcW w:w="722"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278,63</w:t>
            </w:r>
          </w:p>
        </w:tc>
      </w:tr>
      <w:tr w:rsidR="00497C3E" w:rsidRPr="002F4F97" w:rsidTr="00D5360B">
        <w:trPr>
          <w:trHeight w:val="20"/>
          <w:jc w:val="center"/>
        </w:trPr>
        <w:tc>
          <w:tcPr>
            <w:tcW w:w="3105" w:type="pct"/>
            <w:vAlign w:val="center"/>
          </w:tcPr>
          <w:p w:rsidR="00497C3E" w:rsidRPr="002F4F97" w:rsidRDefault="00497C3E" w:rsidP="00676ED5">
            <w:pPr>
              <w:spacing w:after="0" w:line="240" w:lineRule="auto"/>
              <w:rPr>
                <w:rFonts w:ascii="Times New Roman" w:hAnsi="Times New Roman"/>
                <w:sz w:val="24"/>
                <w:szCs w:val="24"/>
                <w:lang w:val="uk-UA"/>
              </w:rPr>
            </w:pPr>
            <w:r w:rsidRPr="002F4F97">
              <w:rPr>
                <w:rFonts w:ascii="Times New Roman" w:hAnsi="Times New Roman"/>
                <w:sz w:val="24"/>
                <w:szCs w:val="24"/>
                <w:lang w:val="uk-UA"/>
              </w:rPr>
              <w:t>Надходження до місцевих бюджетів (з урахуванням дотацій та субвенцій)</w:t>
            </w:r>
          </w:p>
        </w:tc>
        <w:tc>
          <w:tcPr>
            <w:tcW w:w="586"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749,20</w:t>
            </w:r>
          </w:p>
        </w:tc>
        <w:tc>
          <w:tcPr>
            <w:tcW w:w="587"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854,49</w:t>
            </w:r>
          </w:p>
        </w:tc>
        <w:tc>
          <w:tcPr>
            <w:tcW w:w="722" w:type="pct"/>
            <w:vAlign w:val="center"/>
          </w:tcPr>
          <w:p w:rsidR="00497C3E" w:rsidRPr="002F4F97" w:rsidRDefault="00497C3E" w:rsidP="00852196">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817,78</w:t>
            </w:r>
          </w:p>
        </w:tc>
      </w:tr>
    </w:tbl>
    <w:p w:rsidR="00497C3E" w:rsidRPr="002F4F97" w:rsidRDefault="00497C3E" w:rsidP="00B570BE">
      <w:pPr>
        <w:tabs>
          <w:tab w:val="left" w:pos="1560"/>
        </w:tabs>
        <w:spacing w:after="0" w:line="240" w:lineRule="auto"/>
        <w:ind w:left="709"/>
        <w:contextualSpacing/>
        <w:jc w:val="both"/>
        <w:rPr>
          <w:rFonts w:ascii="Times New Roman" w:hAnsi="Times New Roman"/>
          <w:b/>
          <w:sz w:val="28"/>
          <w:szCs w:val="28"/>
          <w:lang w:val="uk-UA" w:eastAsia="ru-RU"/>
        </w:rPr>
      </w:pPr>
      <w:bookmarkStart w:id="6" w:name="o1289"/>
      <w:bookmarkEnd w:id="6"/>
    </w:p>
    <w:p w:rsidR="00497C3E" w:rsidRPr="002F4F97" w:rsidRDefault="00497C3E" w:rsidP="009B69A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Фінансування заходів</w:t>
      </w:r>
    </w:p>
    <w:p w:rsidR="00497C3E" w:rsidRPr="002F4F97" w:rsidRDefault="00497C3E" w:rsidP="00F77385">
      <w:pPr>
        <w:spacing w:after="0" w:line="240" w:lineRule="auto"/>
        <w:ind w:firstLine="709"/>
        <w:jc w:val="both"/>
        <w:rPr>
          <w:rFonts w:ascii="Times New Roman" w:hAnsi="Times New Roman"/>
          <w:sz w:val="28"/>
          <w:szCs w:val="28"/>
          <w:lang w:val="uk-UA"/>
        </w:rPr>
      </w:pPr>
    </w:p>
    <w:p w:rsidR="00497C3E" w:rsidRPr="002F4F97" w:rsidRDefault="00497C3E" w:rsidP="0049578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По видатковій частині загального фонду у порівнянні з 2017 р. обсяги фінансування </w:t>
      </w:r>
      <w:r>
        <w:rPr>
          <w:rFonts w:ascii="Times New Roman" w:hAnsi="Times New Roman"/>
          <w:sz w:val="28"/>
          <w:szCs w:val="28"/>
          <w:lang w:val="uk-UA"/>
        </w:rPr>
        <w:t xml:space="preserve">у 2018 р. були </w:t>
      </w:r>
      <w:r w:rsidRPr="002F4F97">
        <w:rPr>
          <w:rFonts w:ascii="Times New Roman" w:hAnsi="Times New Roman"/>
          <w:sz w:val="28"/>
          <w:szCs w:val="28"/>
          <w:lang w:val="uk-UA"/>
        </w:rPr>
        <w:t>збільшені на 104 334 002,82 грн. або на 14,9%.</w:t>
      </w:r>
    </w:p>
    <w:p w:rsidR="00497C3E" w:rsidRPr="002F4F97" w:rsidRDefault="00497C3E" w:rsidP="0049578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По спеціальному фонду видатки скоротилися на 34 915 435,02 грн., або 39,6%.</w:t>
      </w:r>
    </w:p>
    <w:p w:rsidR="00497C3E" w:rsidRPr="002F4F97" w:rsidRDefault="00497C3E" w:rsidP="0036304A">
      <w:pPr>
        <w:spacing w:before="120"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Обсяг фінансування видатків бюджету на 2019 рік запланований у обсязі 817 775 648 грн., у тому числі видатки загального фонду бюджету 806 592 671 грн., видатки спеціального фонду бюджету 11 182 977 грн.</w:t>
      </w:r>
    </w:p>
    <w:p w:rsidR="00497C3E" w:rsidRPr="002F4F97" w:rsidRDefault="00497C3E" w:rsidP="00E84ECB">
      <w:pPr>
        <w:spacing w:after="0" w:line="240" w:lineRule="auto"/>
        <w:ind w:right="284"/>
        <w:jc w:val="center"/>
        <w:outlineLvl w:val="0"/>
        <w:rPr>
          <w:rFonts w:ascii="Times New Roman" w:hAnsi="Times New Roman"/>
          <w:b/>
          <w:sz w:val="28"/>
          <w:szCs w:val="28"/>
          <w:lang w:val="uk-UA"/>
        </w:rPr>
      </w:pPr>
    </w:p>
    <w:p w:rsidR="00497C3E" w:rsidRPr="002F4F97" w:rsidRDefault="00497C3E" w:rsidP="00E84ECB">
      <w:pPr>
        <w:spacing w:after="0" w:line="240" w:lineRule="auto"/>
        <w:ind w:right="284"/>
        <w:jc w:val="center"/>
        <w:outlineLvl w:val="0"/>
        <w:rPr>
          <w:rFonts w:ascii="Times New Roman" w:hAnsi="Times New Roman"/>
          <w:b/>
          <w:sz w:val="28"/>
          <w:szCs w:val="28"/>
          <w:lang w:val="uk-UA"/>
        </w:rPr>
      </w:pPr>
      <w:r w:rsidRPr="002F4F97">
        <w:rPr>
          <w:rFonts w:ascii="Times New Roman" w:hAnsi="Times New Roman"/>
          <w:b/>
          <w:sz w:val="28"/>
          <w:szCs w:val="28"/>
          <w:lang w:val="uk-UA"/>
        </w:rPr>
        <w:t>Структура видатків місцевого бюджету, млн. грн.</w:t>
      </w:r>
    </w:p>
    <w:tbl>
      <w:tblPr>
        <w:tblW w:w="0" w:type="auto"/>
        <w:jc w:val="center"/>
        <w:tblInd w:w="93" w:type="dxa"/>
        <w:tblLook w:val="00A0" w:firstRow="1" w:lastRow="0" w:firstColumn="1" w:lastColumn="0" w:noHBand="0" w:noVBand="0"/>
      </w:tblPr>
      <w:tblGrid>
        <w:gridCol w:w="3298"/>
        <w:gridCol w:w="978"/>
        <w:gridCol w:w="992"/>
        <w:gridCol w:w="1298"/>
        <w:gridCol w:w="1456"/>
        <w:gridCol w:w="1456"/>
      </w:tblGrid>
      <w:tr w:rsidR="00497C3E" w:rsidRPr="002F4F97" w:rsidTr="004E4379">
        <w:trPr>
          <w:trHeight w:val="20"/>
          <w:jc w:val="center"/>
        </w:trPr>
        <w:tc>
          <w:tcPr>
            <w:tcW w:w="0" w:type="auto"/>
            <w:vMerge w:val="restart"/>
            <w:tcBorders>
              <w:top w:val="single" w:sz="4" w:space="0" w:color="auto"/>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Найменування</w:t>
            </w:r>
          </w:p>
        </w:tc>
        <w:tc>
          <w:tcPr>
            <w:tcW w:w="0" w:type="auto"/>
            <w:gridSpan w:val="3"/>
            <w:tcBorders>
              <w:top w:val="single" w:sz="4" w:space="0" w:color="auto"/>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Видатки</w:t>
            </w:r>
          </w:p>
        </w:tc>
        <w:tc>
          <w:tcPr>
            <w:tcW w:w="0" w:type="auto"/>
            <w:gridSpan w:val="2"/>
            <w:tcBorders>
              <w:top w:val="single" w:sz="4" w:space="0" w:color="auto"/>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Темп росту (зниження), %</w:t>
            </w:r>
          </w:p>
        </w:tc>
      </w:tr>
      <w:tr w:rsidR="00497C3E" w:rsidRPr="002F4F97" w:rsidTr="004E4379">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p>
        </w:tc>
        <w:tc>
          <w:tcPr>
            <w:tcW w:w="978"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2017 р.</w:t>
            </w:r>
          </w:p>
        </w:tc>
        <w:tc>
          <w:tcPr>
            <w:tcW w:w="992"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2018 р.</w:t>
            </w:r>
          </w:p>
        </w:tc>
        <w:tc>
          <w:tcPr>
            <w:tcW w:w="1298"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2019 р. (прогноз)</w:t>
            </w:r>
          </w:p>
        </w:tc>
        <w:tc>
          <w:tcPr>
            <w:tcW w:w="1082"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2018 р. до 2017 р.</w:t>
            </w:r>
          </w:p>
        </w:tc>
        <w:tc>
          <w:tcPr>
            <w:tcW w:w="1082" w:type="dxa"/>
            <w:tcBorders>
              <w:top w:val="nil"/>
              <w:left w:val="nil"/>
              <w:bottom w:val="single" w:sz="4" w:space="0" w:color="auto"/>
              <w:right w:val="single" w:sz="4" w:space="0" w:color="auto"/>
            </w:tcBorders>
            <w:vAlign w:val="center"/>
          </w:tcPr>
          <w:p w:rsidR="00497C3E" w:rsidRPr="002F4F97" w:rsidRDefault="00497C3E" w:rsidP="004E4379">
            <w:pPr>
              <w:spacing w:after="0" w:line="240" w:lineRule="auto"/>
              <w:jc w:val="center"/>
              <w:rPr>
                <w:rFonts w:ascii="Times New Roman" w:hAnsi="Times New Roman"/>
                <w:sz w:val="24"/>
                <w:szCs w:val="24"/>
                <w:lang w:val="uk-UA" w:eastAsia="ru-RU"/>
              </w:rPr>
            </w:pPr>
            <w:r w:rsidRPr="002F4F97">
              <w:rPr>
                <w:rFonts w:ascii="Times New Roman" w:hAnsi="Times New Roman"/>
                <w:sz w:val="24"/>
                <w:szCs w:val="24"/>
                <w:lang w:val="uk-UA" w:eastAsia="ru-RU"/>
              </w:rPr>
              <w:t>2019 р. до 2018 р.</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b/>
                <w:sz w:val="24"/>
                <w:szCs w:val="24"/>
                <w:lang w:val="uk-UA" w:eastAsia="ru-RU"/>
              </w:rPr>
            </w:pPr>
            <w:r w:rsidRPr="002F4F97">
              <w:rPr>
                <w:rFonts w:ascii="Times New Roman" w:hAnsi="Times New Roman"/>
                <w:b/>
                <w:sz w:val="24"/>
                <w:szCs w:val="24"/>
                <w:lang w:val="uk-UA" w:eastAsia="ru-RU"/>
              </w:rPr>
              <w:t>Усього</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790,21</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859,63</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817,78</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8,78</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-4,87</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b/>
                <w:sz w:val="24"/>
                <w:szCs w:val="24"/>
                <w:lang w:val="uk-UA" w:eastAsia="ru-RU"/>
              </w:rPr>
            </w:pPr>
            <w:r w:rsidRPr="002F4F97">
              <w:rPr>
                <w:rFonts w:ascii="Times New Roman" w:hAnsi="Times New Roman"/>
                <w:b/>
                <w:sz w:val="24"/>
                <w:szCs w:val="24"/>
                <w:lang w:val="uk-UA" w:eastAsia="ru-RU"/>
              </w:rPr>
              <w:t>Загальний фонд</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702,14</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806,48</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806,59</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14,86</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0,01</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Державне управління</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48,81</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51,12</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63,34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4,74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23,91</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Освіта</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180,41</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218,69</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260,25</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21,22</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19,01</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Охорона здоров’я</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124,99</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147,64</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113,61</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18,12</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-23,05</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Соціальний захист та соціальне забезпечення</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303,41</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348,05</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285,83</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14,71</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-17,88</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Житлово-комунальне господарство</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12,53</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8,58</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11,94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-31,50</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39,13</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Культура і мистецтво</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14,56</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16,22</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19,46</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11,43</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19,92</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Утримання та розвиток автомобільних доріг та дорожньої інфраструктури за рахунок коштів місцевого бюджету</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4,87</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3,42</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5,40</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-29,75</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58,02</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Фізична культура і спорт</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5,63</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7,08</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8,04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25,74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13,63</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sz w:val="24"/>
                <w:szCs w:val="24"/>
                <w:lang w:val="uk-UA" w:eastAsia="ru-RU"/>
              </w:rPr>
            </w:pPr>
            <w:r w:rsidRPr="002F4F97">
              <w:rPr>
                <w:rFonts w:ascii="Times New Roman" w:hAnsi="Times New Roman"/>
                <w:sz w:val="24"/>
                <w:szCs w:val="24"/>
                <w:lang w:val="uk-UA" w:eastAsia="ru-RU"/>
              </w:rPr>
              <w:t>Інше</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6,93</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5,68</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38,72</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-18,13</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sz w:val="24"/>
                <w:szCs w:val="24"/>
                <w:lang w:val="uk-UA" w:eastAsia="ru-RU"/>
              </w:rPr>
            </w:pPr>
            <w:r w:rsidRPr="002F4F97">
              <w:rPr>
                <w:rFonts w:ascii="Times New Roman" w:hAnsi="Times New Roman"/>
                <w:sz w:val="24"/>
                <w:szCs w:val="24"/>
                <w:lang w:val="uk-UA" w:eastAsia="ru-RU"/>
              </w:rPr>
              <w:t>581,99</w:t>
            </w:r>
          </w:p>
        </w:tc>
      </w:tr>
      <w:tr w:rsidR="00497C3E" w:rsidRPr="002F4F97" w:rsidTr="004E4379">
        <w:trPr>
          <w:trHeight w:val="20"/>
          <w:jc w:val="center"/>
        </w:trPr>
        <w:tc>
          <w:tcPr>
            <w:tcW w:w="0" w:type="auto"/>
            <w:tcBorders>
              <w:top w:val="nil"/>
              <w:left w:val="single" w:sz="4" w:space="0" w:color="auto"/>
              <w:bottom w:val="single" w:sz="4" w:space="0" w:color="auto"/>
              <w:right w:val="single" w:sz="4" w:space="0" w:color="auto"/>
            </w:tcBorders>
            <w:vAlign w:val="center"/>
          </w:tcPr>
          <w:p w:rsidR="00497C3E" w:rsidRPr="002F4F97" w:rsidRDefault="00497C3E" w:rsidP="004E4379">
            <w:pPr>
              <w:spacing w:after="0" w:line="240" w:lineRule="auto"/>
              <w:jc w:val="both"/>
              <w:rPr>
                <w:rFonts w:ascii="Times New Roman" w:hAnsi="Times New Roman"/>
                <w:b/>
                <w:sz w:val="24"/>
                <w:szCs w:val="24"/>
                <w:lang w:val="uk-UA" w:eastAsia="ru-RU"/>
              </w:rPr>
            </w:pPr>
            <w:r w:rsidRPr="002F4F97">
              <w:rPr>
                <w:rFonts w:ascii="Times New Roman" w:hAnsi="Times New Roman"/>
                <w:b/>
                <w:sz w:val="24"/>
                <w:szCs w:val="24"/>
                <w:lang w:val="uk-UA" w:eastAsia="ru-RU"/>
              </w:rPr>
              <w:t>Спеціальний фонд</w:t>
            </w:r>
          </w:p>
        </w:tc>
        <w:tc>
          <w:tcPr>
            <w:tcW w:w="97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88,07</w:t>
            </w:r>
          </w:p>
        </w:tc>
        <w:tc>
          <w:tcPr>
            <w:tcW w:w="99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53,16</w:t>
            </w:r>
          </w:p>
        </w:tc>
        <w:tc>
          <w:tcPr>
            <w:tcW w:w="1298"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11,18</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-39,64</w:t>
            </w:r>
          </w:p>
        </w:tc>
        <w:tc>
          <w:tcPr>
            <w:tcW w:w="1082" w:type="dxa"/>
            <w:tcBorders>
              <w:top w:val="nil"/>
              <w:left w:val="nil"/>
              <w:bottom w:val="single" w:sz="4" w:space="0" w:color="auto"/>
              <w:right w:val="single" w:sz="4" w:space="0" w:color="auto"/>
            </w:tcBorders>
            <w:vAlign w:val="bottom"/>
          </w:tcPr>
          <w:p w:rsidR="00497C3E" w:rsidRPr="002F4F97" w:rsidRDefault="00497C3E" w:rsidP="004E4379">
            <w:pPr>
              <w:spacing w:after="0" w:line="240" w:lineRule="auto"/>
              <w:jc w:val="right"/>
              <w:rPr>
                <w:rFonts w:ascii="Times New Roman" w:hAnsi="Times New Roman"/>
                <w:b/>
                <w:sz w:val="24"/>
                <w:szCs w:val="24"/>
                <w:lang w:val="uk-UA" w:eastAsia="ru-RU"/>
              </w:rPr>
            </w:pPr>
            <w:r w:rsidRPr="002F4F97">
              <w:rPr>
                <w:rFonts w:ascii="Times New Roman" w:hAnsi="Times New Roman"/>
                <w:b/>
                <w:sz w:val="24"/>
                <w:szCs w:val="24"/>
                <w:lang w:val="uk-UA" w:eastAsia="ru-RU"/>
              </w:rPr>
              <w:t>-78,96</w:t>
            </w:r>
          </w:p>
        </w:tc>
      </w:tr>
    </w:tbl>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Основні проблеми:</w:t>
      </w:r>
    </w:p>
    <w:p w:rsidR="00497C3E" w:rsidRPr="002F4F97" w:rsidRDefault="00497C3E" w:rsidP="00451A4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наявність нагальних проблем, розв’язання яких не можливе за рахунок коштів місцевого бюджету, оскільки потребує державної підтримки;</w:t>
      </w:r>
    </w:p>
    <w:p w:rsidR="00497C3E" w:rsidRPr="002F4F97" w:rsidRDefault="00497C3E" w:rsidP="00451A4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 надання у повному обсязі субвенції з державного бюджету на фінансування пільг та субсидій.</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513FA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Оптимізація витрат місцевого бюджету з метою максимально ефективного досягнення цілей соціально-економічного розвитку, забезпечення у повному обсязі фінансування бюджетних установ міста для їх ефективного функціонування та надання послуг населенню.</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513F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виконання заходів, передбачених бюджетом міста на 2019 рік;</w:t>
      </w:r>
    </w:p>
    <w:p w:rsidR="00497C3E" w:rsidRPr="002F4F97" w:rsidRDefault="00497C3E" w:rsidP="00513F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оптимізації витрат головних розпорядників коштів місцевого бюджету шляхом виключення непріоритетних та неефективних витрат, насамперед тих, що не забезпечують виконання основних функцій і завдань відповідного головного розпорядника;</w:t>
      </w:r>
    </w:p>
    <w:p w:rsidR="00497C3E" w:rsidRPr="002F4F97" w:rsidRDefault="00497C3E" w:rsidP="005E18BF">
      <w:pPr>
        <w:numPr>
          <w:ilvl w:val="0"/>
          <w:numId w:val="4"/>
        </w:numPr>
        <w:tabs>
          <w:tab w:val="left" w:pos="1276"/>
        </w:tabs>
        <w:spacing w:after="0" w:line="240" w:lineRule="auto"/>
        <w:ind w:left="0" w:firstLine="709"/>
        <w:jc w:val="both"/>
        <w:rPr>
          <w:rFonts w:ascii="Times New Roman" w:hAnsi="Times New Roman"/>
          <w:b/>
          <w:sz w:val="28"/>
          <w:szCs w:val="28"/>
          <w:lang w:val="uk-UA" w:eastAsia="ru-RU"/>
        </w:rPr>
      </w:pPr>
      <w:r w:rsidRPr="002F4F97">
        <w:rPr>
          <w:rFonts w:ascii="Times New Roman" w:hAnsi="Times New Roman"/>
          <w:sz w:val="28"/>
          <w:szCs w:val="28"/>
          <w:lang w:val="uk-UA"/>
        </w:rPr>
        <w:t>сприяння підвищенню рівня бюджетної дисципліни.</w:t>
      </w:r>
      <w:bookmarkStart w:id="7" w:name="o1290"/>
      <w:bookmarkEnd w:id="7"/>
    </w:p>
    <w:p w:rsidR="00497C3E" w:rsidRPr="002F4F97" w:rsidRDefault="00497C3E" w:rsidP="00D5360B">
      <w:pPr>
        <w:tabs>
          <w:tab w:val="left" w:pos="1276"/>
        </w:tabs>
        <w:spacing w:after="0" w:line="240" w:lineRule="auto"/>
        <w:ind w:left="709"/>
        <w:jc w:val="both"/>
        <w:rPr>
          <w:rFonts w:ascii="Times New Roman" w:hAnsi="Times New Roman"/>
          <w:b/>
          <w:sz w:val="28"/>
          <w:szCs w:val="28"/>
          <w:lang w:val="uk-UA" w:eastAsia="ru-RU"/>
        </w:rPr>
      </w:pPr>
    </w:p>
    <w:p w:rsidR="00497C3E" w:rsidRPr="002F4F97" w:rsidRDefault="00497C3E" w:rsidP="009B69A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Фінансовий стан суб’єктів господарювання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w:t>
      </w:r>
      <w:r w:rsidRPr="002F4F97">
        <w:rPr>
          <w:rFonts w:ascii="Times New Roman" w:hAnsi="Times New Roman"/>
          <w:b/>
          <w:sz w:val="28"/>
          <w:szCs w:val="28"/>
          <w:lang w:val="uk-UA"/>
        </w:rPr>
        <w:t xml:space="preserve"> </w:t>
      </w:r>
      <w:r w:rsidRPr="002F4F97">
        <w:rPr>
          <w:rFonts w:ascii="Times New Roman" w:hAnsi="Times New Roman"/>
          <w:b/>
          <w:i/>
          <w:sz w:val="28"/>
          <w:szCs w:val="28"/>
          <w:lang w:val="uk-UA"/>
        </w:rPr>
        <w:t>проблеми:</w:t>
      </w:r>
    </w:p>
    <w:p w:rsidR="00497C3E" w:rsidRPr="002F4F97" w:rsidRDefault="00497C3E" w:rsidP="0053329E">
      <w:pPr>
        <w:widowControl w:val="0"/>
        <w:numPr>
          <w:ilvl w:val="0"/>
          <w:numId w:val="5"/>
        </w:numPr>
        <w:tabs>
          <w:tab w:val="left" w:pos="1276"/>
        </w:tabs>
        <w:suppressAutoHyphens/>
        <w:spacing w:after="0" w:line="240" w:lineRule="auto"/>
        <w:ind w:left="0" w:firstLine="709"/>
        <w:jc w:val="both"/>
        <w:rPr>
          <w:rStyle w:val="longtext"/>
          <w:rFonts w:ascii="Times New Roman" w:hAnsi="Times New Roman"/>
          <w:sz w:val="28"/>
          <w:szCs w:val="28"/>
          <w:lang w:val="uk-UA"/>
        </w:rPr>
      </w:pPr>
      <w:r w:rsidRPr="002F4F97">
        <w:rPr>
          <w:rStyle w:val="longtext"/>
          <w:rFonts w:ascii="Times New Roman" w:hAnsi="Times New Roman"/>
          <w:sz w:val="28"/>
          <w:szCs w:val="28"/>
          <w:lang w:val="uk-UA"/>
        </w:rPr>
        <w:t>значна втрата традиційних ринків та порушення логістики підприємств;</w:t>
      </w:r>
    </w:p>
    <w:p w:rsidR="00497C3E" w:rsidRPr="002F4F97" w:rsidRDefault="00497C3E" w:rsidP="0053329E">
      <w:pPr>
        <w:widowControl w:val="0"/>
        <w:numPr>
          <w:ilvl w:val="0"/>
          <w:numId w:val="5"/>
        </w:numPr>
        <w:tabs>
          <w:tab w:val="left" w:pos="1276"/>
        </w:tabs>
        <w:suppressAutoHyphens/>
        <w:spacing w:after="0" w:line="240" w:lineRule="auto"/>
        <w:ind w:left="0" w:firstLine="709"/>
        <w:jc w:val="both"/>
        <w:rPr>
          <w:rStyle w:val="longtext"/>
          <w:rFonts w:ascii="Times New Roman" w:hAnsi="Times New Roman"/>
          <w:sz w:val="28"/>
          <w:szCs w:val="28"/>
          <w:lang w:val="uk-UA"/>
        </w:rPr>
      </w:pPr>
      <w:r w:rsidRPr="002F4F97">
        <w:rPr>
          <w:rStyle w:val="longtext"/>
          <w:rFonts w:ascii="Times New Roman" w:hAnsi="Times New Roman"/>
          <w:sz w:val="28"/>
          <w:szCs w:val="28"/>
          <w:lang w:val="uk-UA"/>
        </w:rPr>
        <w:t>велике ввізне мито на імпортовану сировину, виробництво якої відсутнє в Україні;</w:t>
      </w:r>
    </w:p>
    <w:p w:rsidR="00497C3E" w:rsidRPr="002F4F97" w:rsidRDefault="00497C3E" w:rsidP="0053329E">
      <w:pPr>
        <w:widowControl w:val="0"/>
        <w:numPr>
          <w:ilvl w:val="0"/>
          <w:numId w:val="5"/>
        </w:numPr>
        <w:tabs>
          <w:tab w:val="left" w:pos="1276"/>
        </w:tabs>
        <w:suppressAutoHyphens/>
        <w:spacing w:after="0" w:line="240" w:lineRule="auto"/>
        <w:ind w:left="0" w:firstLine="709"/>
        <w:jc w:val="both"/>
        <w:rPr>
          <w:rStyle w:val="longtext"/>
          <w:rFonts w:ascii="Times New Roman" w:hAnsi="Times New Roman"/>
          <w:sz w:val="28"/>
          <w:szCs w:val="28"/>
          <w:lang w:val="uk-UA"/>
        </w:rPr>
      </w:pPr>
      <w:r w:rsidRPr="002F4F97">
        <w:rPr>
          <w:rStyle w:val="longtext"/>
          <w:rFonts w:ascii="Times New Roman" w:hAnsi="Times New Roman"/>
          <w:sz w:val="28"/>
          <w:szCs w:val="28"/>
          <w:lang w:val="uk-UA"/>
        </w:rPr>
        <w:t>нестабільність валютного курсу та збереження високої вартості кредитного ресурсу;</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зростання вартості енергоносіїв;</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низька інвестиційна привабливість підприємств.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адаптація продукції місцевих товаровиробників до вимог європейських стандартів і норм, розроблення конкурентоспроможних видів продукції;</w:t>
      </w:r>
    </w:p>
    <w:p w:rsidR="00497C3E" w:rsidRPr="002F4F97" w:rsidRDefault="00497C3E" w:rsidP="00F169F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стабільній роботі промисловості міста та підвищення інвестиційної привабливості міста.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підвищенню рівня завантаження виробничих потужностей підприємств;</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усіх передумов для надходження інвестицій і на цій основі покращання фінансово-економічного стану підприємств;</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умов для покращання фінансово-економічного стану підприємств житлово-комунального господарства;</w:t>
      </w:r>
    </w:p>
    <w:p w:rsidR="00497C3E" w:rsidRPr="002F4F97" w:rsidRDefault="00497C3E" w:rsidP="0001498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розвиток коопераційних зав’язків.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Очікувані результати:</w:t>
      </w:r>
    </w:p>
    <w:p w:rsidR="00497C3E" w:rsidRPr="002F4F97" w:rsidRDefault="00497C3E">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Підвищення частки прибуткових підприємств міста.</w:t>
      </w:r>
    </w:p>
    <w:p w:rsidR="00497C3E" w:rsidRPr="002F4F97" w:rsidRDefault="00497C3E">
      <w:pPr>
        <w:spacing w:after="0" w:line="240" w:lineRule="auto"/>
        <w:ind w:firstLine="709"/>
        <w:jc w:val="both"/>
        <w:rPr>
          <w:rFonts w:ascii="Times New Roman" w:hAnsi="Times New Roman"/>
          <w:sz w:val="28"/>
          <w:szCs w:val="28"/>
          <w:lang w:val="uk-UA"/>
        </w:rPr>
      </w:pPr>
    </w:p>
    <w:p w:rsidR="00497C3E" w:rsidRPr="002F4F97" w:rsidRDefault="00497C3E" w:rsidP="001C287E">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РИНКОВІ ПЕРЕТВОРЕННЯ</w:t>
      </w:r>
    </w:p>
    <w:p w:rsidR="00497C3E" w:rsidRPr="002F4F97" w:rsidRDefault="00497C3E" w:rsidP="00546F52">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1C287E">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Реформування відносин власності</w:t>
      </w:r>
    </w:p>
    <w:p w:rsidR="00497C3E" w:rsidRPr="002F4F97" w:rsidRDefault="00497C3E" w:rsidP="00546F52">
      <w:pPr>
        <w:tabs>
          <w:tab w:val="left" w:pos="1560"/>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DD262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Процеси реформування комунальної власності є важливим чинником розвитку інфраструктури малого та середнього бізнесу м. Лисичанська. В той же час залучення ефективних власників на комунальні об’єкти шляхом їх передачі в оренду та відчуження забезпечує систематичні надходження коштів до місцевого та державних бюджетів.</w:t>
      </w:r>
    </w:p>
    <w:p w:rsidR="00497C3E" w:rsidRPr="002F4F97" w:rsidRDefault="00497C3E" w:rsidP="00DD262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Однак, зменшення інвестиційної привабливості міста призвело до суттєвого зниження попиту на об’єкти комунальної власності, які пропонуються для передачі в оренду та відчуження.</w:t>
      </w:r>
    </w:p>
    <w:p w:rsidR="00497C3E" w:rsidRPr="002F4F97" w:rsidRDefault="00497C3E" w:rsidP="00DD262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разі стабілізації ситуації в регіоні очікується позитивна динаміка в сфері реформування комунальної власності в м. Лисичанську.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C753E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Низький попит на об’єкти, які пропонуються до продажу та передачі в оренду, через вплив зовнішніх факторів.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C753E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Формування ефективної системи відносин власності.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C753E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Залучення ефективних власників на об’єкти комунальної власності.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DD262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Залучення коштів до місцевого бюджету від оренди та відчуження об’єктів комунальної власності.</w:t>
      </w:r>
    </w:p>
    <w:p w:rsidR="00497C3E" w:rsidRPr="002F4F97" w:rsidRDefault="00497C3E" w:rsidP="00DD2629">
      <w:pPr>
        <w:spacing w:after="0" w:line="240" w:lineRule="auto"/>
        <w:ind w:firstLine="709"/>
        <w:jc w:val="both"/>
        <w:rPr>
          <w:rFonts w:ascii="Times New Roman" w:hAnsi="Times New Roman"/>
          <w:sz w:val="28"/>
          <w:szCs w:val="28"/>
          <w:lang w:val="uk-UA"/>
        </w:rPr>
      </w:pPr>
    </w:p>
    <w:p w:rsidR="00497C3E" w:rsidRPr="002F4F97" w:rsidRDefault="00497C3E" w:rsidP="001C287E">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Розвиток підприємництва</w:t>
      </w:r>
    </w:p>
    <w:p w:rsidR="00497C3E" w:rsidRPr="002F4F97" w:rsidRDefault="00497C3E" w:rsidP="00DC730B">
      <w:pPr>
        <w:spacing w:after="0" w:line="240" w:lineRule="auto"/>
        <w:ind w:firstLine="709"/>
        <w:jc w:val="both"/>
        <w:rPr>
          <w:rFonts w:ascii="Times New Roman" w:hAnsi="Times New Roman"/>
          <w:sz w:val="28"/>
          <w:szCs w:val="28"/>
          <w:lang w:val="uk-UA"/>
        </w:rPr>
      </w:pPr>
    </w:p>
    <w:p w:rsidR="00497C3E" w:rsidRPr="002F4F97" w:rsidRDefault="00497C3E" w:rsidP="00DC730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теперішній ситуації мале та середнє підприємництво є важливим сектором економіки, який сприяє вирішенню багатьох соціальних проблем, насамперед, забезпечує зайнятість населення, створення нових робочих місць, зменшення безробіття, насичення ринку необхідними товарами та послугами, створення здорової конкуренції, яка сприятливо впливає на розвиток економіки.</w:t>
      </w:r>
    </w:p>
    <w:p w:rsidR="00497C3E" w:rsidRPr="002F4F97" w:rsidRDefault="00497C3E" w:rsidP="00CE78F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Кількість зареєстрованих фізичних осіб-підприємців в м. Лисичанську має тенденцію до зростання. Станом на 01.01.2019 було зареєстровано 4 791 ФОП, що на 384 особи, або на 8,71% більше ніж на 01.01.2018, планові показники були перевищені на 10,65%. Кількість ФОП, що сплачують податки, за звітний рік збільшилась зі 3054 до 3156 осіб, тобто на 102 особи або на 3,34%. При цьому питома вага активних ФОП за 2018 рік зменшилась на 3,43 процентних пункти до рівня 65,87%. Надходження до бюджетів усіх рівнів від фізичних осіб-підприємців за рік зросли на 23,61%, та склали 40,3 млн. грн.</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Основні проблеми:</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неоднозначність і суперечливість чинної нормативно-правової бази;</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недостатній доступ до кредитних ресурсів;</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адміністративні перешкоди ведення бізнесу;</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низький рівень самоорганізації та саморегуляції суб’єктів малого і середнього підприємництва.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оптимізація регуляторно-дозвільної системи у сфері малого і середнього підприємництва;</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умов розвитку ефективного партнерства «влада-громада-бізнес»;</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умов для підвищення конкурентоспроможності місцевого бізнесу;</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залученню додаткових ресурсів для розвитку малого і середнього підприємництва;</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покращення інформаційного середовища для ведення бізнесу у м. Лисичанськ;</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залучення безробітних до ведення підприємницької діяльності та стимулювання створення нових робочих місць;</w:t>
      </w:r>
    </w:p>
    <w:p w:rsidR="00497C3E" w:rsidRPr="002F4F97" w:rsidRDefault="00497C3E" w:rsidP="00C753E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легалізація трудових відносин.</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ефективної реалізації регуляторної політики та надання адміністративних послуг;</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ресурсна та інформаційна підтримка, удосконалення інфраструктури підтримки малого та середнього підприємництва;</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підготовка та розширення кадрового потенціалу малого та середнього підприємництва.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кількості суб’єктів малого і середнього підприємництва завдяки забезпеченню функціонування дієвої інфраструктури сприяння підприємництву;</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спрощення процесу (зменшення кількості) та процедур (скорочення термінів) отримання документів дозвільного характеру;</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кількості підприємств малого і середнього підприємництва, що працюють у виробничій сфері;</w:t>
      </w:r>
    </w:p>
    <w:p w:rsidR="00497C3E" w:rsidRPr="002F4F97" w:rsidRDefault="00497C3E" w:rsidP="004402E1">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кількості інноваційних проектів, що реалізуються на території міста суб’єктами малого і середнього підприємництва.</w:t>
      </w:r>
    </w:p>
    <w:p w:rsidR="00497C3E" w:rsidRPr="002F4F97" w:rsidRDefault="00497C3E" w:rsidP="005307E3">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867EEE">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Розвиток ринкової інфраструктури</w:t>
      </w:r>
    </w:p>
    <w:p w:rsidR="00497C3E" w:rsidRPr="002F4F97" w:rsidRDefault="00497C3E" w:rsidP="00A630A2">
      <w:pPr>
        <w:spacing w:after="0" w:line="240" w:lineRule="auto"/>
        <w:ind w:firstLine="709"/>
        <w:jc w:val="both"/>
        <w:rPr>
          <w:rFonts w:ascii="Times New Roman" w:hAnsi="Times New Roman"/>
          <w:sz w:val="28"/>
          <w:szCs w:val="28"/>
          <w:lang w:val="uk-UA"/>
        </w:rPr>
      </w:pPr>
    </w:p>
    <w:p w:rsidR="00497C3E" w:rsidRPr="002F4F97" w:rsidRDefault="00497C3E" w:rsidP="00A630A2">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Формування інфраструктури підтримки підприємництва відстає від темпів розвитку малого та середнього підприємництва, а якість, рівень та асортимент послуг не завжди відповідають потребам підприємців. Кількість </w:t>
      </w:r>
      <w:r w:rsidRPr="002F4F97">
        <w:rPr>
          <w:rFonts w:ascii="Times New Roman" w:hAnsi="Times New Roman"/>
          <w:sz w:val="28"/>
          <w:szCs w:val="28"/>
          <w:lang w:val="uk-UA"/>
        </w:rPr>
        <w:lastRenderedPageBreak/>
        <w:t>об’єктів інфраструктури міста Лисичанськ на 01.01.2019 року нараховує 10 одиницю, зокрема: 1 бізнес-центр, 5 інформаційно-консультативних центрів, 4 громадських об’єднань підприємців.</w:t>
      </w:r>
    </w:p>
    <w:p w:rsidR="00497C3E" w:rsidRPr="002F4F97" w:rsidRDefault="00497C3E" w:rsidP="00A630A2">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Також у місті існує індустріальний парк «Лисичанськ», центр надання адміністративних послуг, кредитні спілки, аудиторські фірми та філії страхових компаній. Місту бракує повноцінних бізнес-інкубатору і бізнес-школи, які б підтримували підприємців особливо на стадії започаткування бізнесу. Крім того, необхідно підвищувати рівень самоорганізації підприємців, утворення ними професійних об’єднання, що будуть стимулювати загальний розвиток їх сфер діяльності у місті та популяризувати підприємництво, змінювати на краще громадську думку.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недостатній обсяг кредитування місцевих товаровиробників за пільговими програмами кредитування реального сектору економіки та споживчого кредитування;</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високі інвестиційні ризики, висока частка тіньової економіки, недосконале законодавство та нестабільна політична ситуація в країні.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залучення в економіку міста коштів міжнародної технічної допомоги та грантових коштів в рамках участі в програмах міжнародного співробітництва;</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поглиблення співпраці з банківськими установами щодо кредитування реального сектору економіки, спрощення системи кредитування та зниження відсоткових ставок для суб’єктів бізнесу.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bookmarkStart w:id="8" w:name="bookmark0"/>
      <w:r w:rsidRPr="002F4F97">
        <w:rPr>
          <w:rFonts w:ascii="Times New Roman" w:hAnsi="Times New Roman"/>
          <w:b/>
          <w:i/>
          <w:sz w:val="28"/>
          <w:szCs w:val="28"/>
          <w:lang w:val="uk-UA"/>
        </w:rPr>
        <w:t>Основні завдання:</w:t>
      </w:r>
      <w:bookmarkEnd w:id="8"/>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збільшенню кредитування економіки міста банківським сектором;</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умов для збільшення кількості об’єктів ринкової інфраструктури.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bookmarkStart w:id="9" w:name="bookmark1"/>
      <w:r w:rsidRPr="002F4F97">
        <w:rPr>
          <w:rFonts w:ascii="Times New Roman" w:hAnsi="Times New Roman"/>
          <w:b/>
          <w:i/>
          <w:sz w:val="28"/>
          <w:szCs w:val="28"/>
          <w:lang w:val="uk-UA"/>
        </w:rPr>
        <w:t>Очікувані результати:</w:t>
      </w:r>
      <w:bookmarkEnd w:id="9"/>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полегшення доступу для більшості підприємств до банківських кредитних ресурсів;</w:t>
      </w:r>
    </w:p>
    <w:p w:rsidR="00497C3E" w:rsidRPr="002F4F97" w:rsidRDefault="00497C3E" w:rsidP="00A630A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розширення мережі об’єктів ринкової інфраструктури та підтримки підприємців.</w:t>
      </w:r>
    </w:p>
    <w:p w:rsidR="00497C3E" w:rsidRPr="002F4F97" w:rsidRDefault="00497C3E" w:rsidP="00546F52">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A630A2">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МЕХАНІЗМИ РЕГУЛЮВАННЯ</w:t>
      </w:r>
    </w:p>
    <w:p w:rsidR="00497C3E" w:rsidRPr="002F4F97" w:rsidRDefault="00497C3E" w:rsidP="00546F52">
      <w:pPr>
        <w:tabs>
          <w:tab w:val="left" w:pos="1560"/>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A630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Управління об’єктами комунальної власності</w:t>
      </w:r>
    </w:p>
    <w:p w:rsidR="00497C3E" w:rsidRPr="002F4F97" w:rsidRDefault="00497C3E" w:rsidP="00517B3A">
      <w:pPr>
        <w:spacing w:after="0" w:line="240" w:lineRule="auto"/>
        <w:ind w:firstLine="709"/>
        <w:jc w:val="both"/>
        <w:rPr>
          <w:rFonts w:ascii="Times New Roman" w:hAnsi="Times New Roman"/>
          <w:sz w:val="28"/>
          <w:szCs w:val="28"/>
          <w:lang w:val="uk-UA"/>
        </w:rPr>
      </w:pPr>
    </w:p>
    <w:p w:rsidR="00497C3E" w:rsidRPr="002F4F97" w:rsidRDefault="00497C3E" w:rsidP="00517B3A">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Основними напрямками діяльності у сфері управління об’єктами комунальної власності є організація роботи з обліку, контролю за рухом та використанням, приватизації та передачі в оренду об’єктів комунальної власності, в тому числі землі.</w:t>
      </w:r>
    </w:p>
    <w:p w:rsidR="00497C3E" w:rsidRPr="002F4F97" w:rsidRDefault="00497C3E" w:rsidP="0025395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Використання та охорона земель є одним із пріоритетних напрямків державної політики у сфері природокористування і є невід’ємною умовою збалансованого економічного та соціального розвитку. Тому характер і масштаби земельних перетворень визначають темпи та ефективність розвитку національної економіки, формування ринкових відносин.</w:t>
      </w:r>
    </w:p>
    <w:p w:rsidR="00497C3E" w:rsidRPr="002F4F97" w:rsidRDefault="00497C3E" w:rsidP="0037034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Проведення земельної реформи на території міст можливо шляхом місцевих програм з питань розвитку земельних відносин, які визначають склад та обсяги першочергових та перспективних заходів щодо використання й охорони земель, а також обсяги і джерела ресурсного забезпечення їх реалізації, у зв’язку з чим прийнято Програму розвитку земельних відносин м. Лисичанська Луганської області на 2018-2020 роки.</w:t>
      </w:r>
    </w:p>
    <w:p w:rsidR="00497C3E" w:rsidRPr="002F4F97" w:rsidRDefault="00497C3E" w:rsidP="0037034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початку 2018 року укладено 90 договорів оренди нерухомого майна, відмінного від земельної ділянки, в т.ч. 7 щодо об’єктів, які передаються в оренду вперше. Загальна площа переданих в оренду за цими договорами об’єктів складає 35170,2 кв. м. Для передачі в користування є 77 вільних приміщень загальною площею 10692,6 кв. м. Іх перелік оприлюднено на офіційному сайті міської ради.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D06399">
      <w:pPr>
        <w:numPr>
          <w:ilvl w:val="0"/>
          <w:numId w:val="4"/>
        </w:numPr>
        <w:tabs>
          <w:tab w:val="num" w:pos="993"/>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необхідність залучення програмних компонентів, комплексних ІТ-рішень для забезпечення ефективності системи управління об’єктами комунальної власності;</w:t>
      </w:r>
    </w:p>
    <w:p w:rsidR="00497C3E" w:rsidRPr="002F4F97" w:rsidRDefault="00497C3E" w:rsidP="00D0639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довгостроковий термін проведення робіт із землеустрою;</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застарілість містобудівної документації;</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висока вартість робіт із землеустрою, дефіцит їх фінансування.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здійснення заходів для створення ефективного механізму регулювання земельних відносин та державного управління земельними ресурсами, раціонального використання та охорони земель, розвитку ринку землі та ведення державного земельного кадастру;</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оновлення (актуалізація) містобудівної документації;</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приведення розміру надходжень від плати за землю у відповідність до її ринкової вартості.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ефективності системи управління об’єктами комунальної власності;</w:t>
      </w:r>
    </w:p>
    <w:p w:rsidR="00497C3E" w:rsidRPr="002F4F97" w:rsidRDefault="00497C3E"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розробка оновлення містобудівної документації М 1:2000 у цифровій формі;</w:t>
      </w:r>
    </w:p>
    <w:p w:rsidR="00497C3E" w:rsidRPr="002F4F97" w:rsidRDefault="00497C3E"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розробка історико-архітектурного опорного плану міста;</w:t>
      </w:r>
    </w:p>
    <w:p w:rsidR="00497C3E" w:rsidRPr="002F4F97" w:rsidRDefault="00497C3E" w:rsidP="00EE3E8A">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введення в дію плану зонування території (зонінг);</w:t>
      </w:r>
    </w:p>
    <w:p w:rsidR="00497C3E" w:rsidRPr="002F4F97" w:rsidRDefault="00497C3E" w:rsidP="00064B93">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розробка проекту землеустрою щодо встановлення меж адміністративно-територіальної одиниці м. Лисичанськ;</w:t>
      </w:r>
    </w:p>
    <w:p w:rsidR="00497C3E" w:rsidRPr="002F4F97" w:rsidRDefault="00497C3E" w:rsidP="00EE3E8A">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встановлення водоохоронних зон та прибережних смуг річки місцевого значення Верхня Біленька;</w:t>
      </w:r>
    </w:p>
    <w:p w:rsidR="00497C3E" w:rsidRPr="002F4F97" w:rsidRDefault="00497C3E" w:rsidP="00064B93">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внесення змін до Генерального плану міста.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Очікувані результати:</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надходжень до місцевого бюджету від плати за землю;</w:t>
      </w:r>
    </w:p>
    <w:p w:rsidR="00497C3E" w:rsidRPr="002F4F97" w:rsidRDefault="00497C3E" w:rsidP="00253957">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встановлення місця розташування об’єктів землеустрою, їх меж, розмірів, правового статусу, кількісних та якісних характеристик земель, формування території міста;</w:t>
      </w:r>
    </w:p>
    <w:p w:rsidR="00497C3E" w:rsidRPr="002F4F97" w:rsidRDefault="00497C3E" w:rsidP="00F53B9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якісне, обґрунтоване та раціональне використання території міста з урахування державних, громадських та приватних інтересів;</w:t>
      </w:r>
    </w:p>
    <w:p w:rsidR="00497C3E" w:rsidRPr="002F4F97" w:rsidRDefault="00497C3E" w:rsidP="00B14F5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потреб населення і суб’єктів господарювання у земельних ресурсах.</w:t>
      </w:r>
    </w:p>
    <w:p w:rsidR="00497C3E" w:rsidRPr="002F4F97" w:rsidRDefault="00497C3E" w:rsidP="00231B45">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A630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Інвестиційна діяльність</w:t>
      </w:r>
    </w:p>
    <w:p w:rsidR="00497C3E" w:rsidRPr="002F4F97" w:rsidRDefault="00497C3E" w:rsidP="00146416">
      <w:pPr>
        <w:spacing w:after="0" w:line="240" w:lineRule="auto"/>
        <w:ind w:firstLine="709"/>
        <w:jc w:val="both"/>
        <w:rPr>
          <w:rFonts w:ascii="Times New Roman" w:hAnsi="Times New Roman"/>
          <w:sz w:val="28"/>
          <w:szCs w:val="28"/>
          <w:lang w:val="uk-UA"/>
        </w:rPr>
      </w:pPr>
    </w:p>
    <w:p w:rsidR="00497C3E" w:rsidRPr="002F4F97"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Міський бюджет м. Лисичанськ у 2019 році не в повному обсязі задовольняє поточні потреби бюджетних установ та комунальних підприємств у видатках по утриманню міста, виконавчі органи Лисичанської міської ради веде активну роботу щодо залучення додаткових коштів для виконання проектів розвитку, що мають стратегічний характер.</w:t>
      </w:r>
    </w:p>
    <w:p w:rsidR="00497C3E" w:rsidRPr="00F11D25"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На конкурс проектів, які можуть реалізовуватися за рахунок коштів Державного фонду регіонального розвитку у 2019 році було подано 17 проектів на загальну суму 382,1 млн. грн. У 2018 році за рахунок коштів ДФРР виконувались проекти </w:t>
      </w:r>
      <w:r w:rsidR="00F11D25" w:rsidRPr="002F4F97">
        <w:rPr>
          <w:rFonts w:ascii="Times New Roman" w:hAnsi="Times New Roman"/>
          <w:sz w:val="28"/>
          <w:szCs w:val="28"/>
          <w:lang w:val="uk-UA"/>
        </w:rPr>
        <w:t>«Капітальний ремонт автодороги по вул. К. Маркса в м. Лисичанську»</w:t>
      </w:r>
      <w:r w:rsidR="00F11D25">
        <w:rPr>
          <w:rFonts w:ascii="Times New Roman" w:hAnsi="Times New Roman"/>
          <w:sz w:val="28"/>
          <w:szCs w:val="28"/>
          <w:lang w:val="uk-UA"/>
        </w:rPr>
        <w:t>,</w:t>
      </w:r>
      <w:r w:rsidR="00F11D25" w:rsidRPr="002F4F97">
        <w:rPr>
          <w:rFonts w:ascii="Times New Roman" w:hAnsi="Times New Roman"/>
          <w:sz w:val="28"/>
          <w:szCs w:val="28"/>
          <w:lang w:val="uk-UA"/>
        </w:rPr>
        <w:t xml:space="preserve"> </w:t>
      </w:r>
      <w:r w:rsidRPr="002F4F97">
        <w:rPr>
          <w:rFonts w:ascii="Times New Roman" w:hAnsi="Times New Roman"/>
          <w:sz w:val="28"/>
          <w:szCs w:val="28"/>
          <w:lang w:val="uk-UA"/>
        </w:rPr>
        <w:t>«Реконструкція (термомодернізація) будівлі Лисичанської загальноосвітньої школа І-ІІІ ступенів № 14 по вул. Гар</w:t>
      </w:r>
      <w:r w:rsidR="00F11D25">
        <w:rPr>
          <w:rFonts w:ascii="Times New Roman" w:hAnsi="Times New Roman"/>
          <w:sz w:val="28"/>
          <w:szCs w:val="28"/>
          <w:lang w:val="uk-UA"/>
        </w:rPr>
        <w:t>ибальді, 13 (санація будівлі)»</w:t>
      </w:r>
      <w:r w:rsidRPr="002F4F97">
        <w:rPr>
          <w:rFonts w:ascii="Times New Roman" w:hAnsi="Times New Roman"/>
          <w:sz w:val="28"/>
          <w:szCs w:val="28"/>
          <w:lang w:val="uk-UA"/>
        </w:rPr>
        <w:t>, «Реконструкція двох Білогорівських магістральних водов</w:t>
      </w:r>
      <w:r>
        <w:rPr>
          <w:rFonts w:ascii="Times New Roman" w:hAnsi="Times New Roman"/>
          <w:sz w:val="28"/>
          <w:szCs w:val="28"/>
          <w:lang w:val="uk-UA"/>
        </w:rPr>
        <w:t>о</w:t>
      </w:r>
      <w:r w:rsidRPr="002F4F97">
        <w:rPr>
          <w:rFonts w:ascii="Times New Roman" w:hAnsi="Times New Roman"/>
          <w:sz w:val="28"/>
          <w:szCs w:val="28"/>
          <w:lang w:val="uk-UA"/>
        </w:rPr>
        <w:t xml:space="preserve">дів Ду 600 мм та </w:t>
      </w:r>
      <w:r w:rsidRPr="00F11D25">
        <w:rPr>
          <w:rFonts w:ascii="Times New Roman" w:hAnsi="Times New Roman"/>
          <w:sz w:val="28"/>
          <w:szCs w:val="28"/>
          <w:lang w:val="uk-UA"/>
        </w:rPr>
        <w:t>Ду 500 мм протяжністю 10,8 км кожної ділянки», у 2019 році буде продовжена реалізація останн</w:t>
      </w:r>
      <w:r w:rsidR="00F11D25" w:rsidRPr="00F11D25">
        <w:rPr>
          <w:rFonts w:ascii="Times New Roman" w:hAnsi="Times New Roman"/>
          <w:sz w:val="28"/>
          <w:szCs w:val="28"/>
          <w:lang w:val="uk-UA"/>
        </w:rPr>
        <w:t>іх двох</w:t>
      </w:r>
      <w:r w:rsidRPr="00F11D25">
        <w:rPr>
          <w:rFonts w:ascii="Times New Roman" w:hAnsi="Times New Roman"/>
          <w:sz w:val="28"/>
          <w:szCs w:val="28"/>
          <w:lang w:val="uk-UA"/>
        </w:rPr>
        <w:t xml:space="preserve"> проект</w:t>
      </w:r>
      <w:r w:rsidR="00F11D25" w:rsidRPr="00F11D25">
        <w:rPr>
          <w:rFonts w:ascii="Times New Roman" w:hAnsi="Times New Roman"/>
          <w:sz w:val="28"/>
          <w:szCs w:val="28"/>
          <w:lang w:val="uk-UA"/>
        </w:rPr>
        <w:t>ів</w:t>
      </w:r>
      <w:r w:rsidRPr="00F11D25">
        <w:rPr>
          <w:rFonts w:ascii="Times New Roman" w:hAnsi="Times New Roman"/>
          <w:sz w:val="28"/>
          <w:szCs w:val="28"/>
          <w:lang w:val="uk-UA"/>
        </w:rPr>
        <w:t>. Ведеться робота щодо подачі на конкурс проектів, які можуть фінансуватись у 2020 році.</w:t>
      </w:r>
    </w:p>
    <w:p w:rsidR="00497C3E" w:rsidRPr="002F4F97"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Також Лисичанська міська рада активно надає пропозиції щодо фінансування заходів з розвитку інфраструктури міста за рахунок субвенції з державного бюджету місцевим бюджетам на здійснення заходів соціально-економічного розвитку окремих територій. Крім того, міська рада активно співпрацює з великою кількістю міжнародних організацій, таких як Агентство США з міжнародного розвитку (USAID), ЮНІСЕФ, Норвезька рада у справах біженців, Програма розвитку ООН, GIZ, Глобальний фонд боротьби зі СНІДом, туберкульозом та малярією, Міжнародна організація Help Age International, Міжнародна організація з міграції.</w:t>
      </w:r>
    </w:p>
    <w:p w:rsidR="00497C3E" w:rsidRPr="002F4F97"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Технічна допомога надається на реалізацію різноманітних проектів розвитку та у формі обраній керівництвом зазначених організацій, в тому числі безпосередньо бенефіціарам. Тому деякі наведені нижче обсяги технічної допомоги оціночні, документального підтвердження не мають і можуть не в повній мірі відповідати дійсності.</w:t>
      </w:r>
    </w:p>
    <w:p w:rsidR="00497C3E" w:rsidRPr="002F4F97" w:rsidRDefault="00497C3E" w:rsidP="0031258C">
      <w:pPr>
        <w:pStyle w:val="a8"/>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 xml:space="preserve">Обсяг технічної допомоги у 2017 році становив орієнтовно 7,730 млн. грн. Переважну частину цієї суми складають кошти, витрачені на ремонт будівель приватної форми власності, які постраждали у 2014 році під час </w:t>
      </w:r>
      <w:r w:rsidRPr="002F4F97">
        <w:rPr>
          <w:rFonts w:ascii="Times New Roman" w:hAnsi="Times New Roman"/>
          <w:sz w:val="28"/>
          <w:szCs w:val="28"/>
          <w:lang w:val="uk-UA"/>
        </w:rPr>
        <w:lastRenderedPageBreak/>
        <w:t>проведення активної фази АТО у м. Лисичанську. У 2018 році продовжувались відновлювальні роботи на житлових об’єктах приватної форми власності. Орієнтовний обсяг допомоги у 2018 році склав 6,176 млн. грн.</w:t>
      </w:r>
    </w:p>
    <w:p w:rsidR="00497C3E" w:rsidRPr="002F4F97" w:rsidRDefault="00497C3E" w:rsidP="00146416">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Лисичанська міська рада та її виконавчі органи і надалі будуть активно проводити роботу з розробки та підготовки проектів, спрямованих на соціально-економічний розвиток територіальної громади м. Лисичанська.</w:t>
      </w:r>
    </w:p>
    <w:p w:rsidR="00497C3E" w:rsidRPr="002F4F97" w:rsidRDefault="00497C3E" w:rsidP="00146416">
      <w:pPr>
        <w:spacing w:after="0" w:line="240" w:lineRule="auto"/>
        <w:ind w:firstLine="709"/>
        <w:jc w:val="both"/>
        <w:rPr>
          <w:rFonts w:ascii="Times New Roman" w:hAnsi="Times New Roman"/>
          <w:sz w:val="28"/>
          <w:szCs w:val="28"/>
          <w:lang w:val="uk-UA"/>
        </w:rPr>
      </w:pPr>
    </w:p>
    <w:p w:rsidR="00497C3E" w:rsidRPr="002F4F97" w:rsidRDefault="00497C3E" w:rsidP="001619E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Закупівля продукції (товарів, робіт, послуг) для потреб міста</w:t>
      </w:r>
    </w:p>
    <w:p w:rsidR="00497C3E" w:rsidRPr="002F4F97" w:rsidRDefault="00497C3E" w:rsidP="003920EF">
      <w:pPr>
        <w:spacing w:after="0" w:line="240" w:lineRule="auto"/>
        <w:ind w:firstLine="709"/>
        <w:jc w:val="both"/>
        <w:rPr>
          <w:rFonts w:ascii="Times New Roman" w:hAnsi="Times New Roman"/>
          <w:sz w:val="28"/>
          <w:szCs w:val="28"/>
          <w:lang w:val="uk-UA"/>
        </w:rPr>
      </w:pPr>
    </w:p>
    <w:p w:rsidR="00497C3E" w:rsidRPr="002F4F97" w:rsidRDefault="00497C3E" w:rsidP="003920E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сьогоднішній день здійснення закупівель товарів, робіт та послуг за рахунок бюджетних коштів у випадках передбачених діючим законодавством здійснюється за допомогою Системи електронних закупівель ProZorro. Вона дозволяє мінімізувати корупційні ризики при здійсненні закупівель, спрощує доступ малого і середнього бізнесу до державних торгів, забезпечує громадський контроль за процесом торгів та дозволяє зробити діяльність органів влади та комунальних підприємств прозорою та відкритою, економніше витрачати бюджетні кошти та підвищити статус влади у суспільстві та рівень довіри до неї.</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1619E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Відсутність необхідного досвіду у переважної кількості учасників торгів.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1619E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раціонального використання коштів бюджету м. Лисичанська, справедливої конкуренції між учасниками торгів та запобігання корупційним явищам у сфері державних закупівель.</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96042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прозорості конкурсних процедур з метою запобігання економічним зловживанням при здійсненні державних закупівель;</w:t>
      </w:r>
    </w:p>
    <w:p w:rsidR="00497C3E" w:rsidRPr="002F4F97" w:rsidRDefault="00497C3E" w:rsidP="0096042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розвитку конкурентного середовища в місті.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1619E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раціонального використання коштів бюджету міста, справедливої конкуренції між учасниками торгів.</w:t>
      </w:r>
    </w:p>
    <w:p w:rsidR="00497C3E" w:rsidRPr="002F4F97" w:rsidRDefault="00497C3E" w:rsidP="001619E1">
      <w:pPr>
        <w:spacing w:after="0" w:line="240" w:lineRule="auto"/>
        <w:ind w:firstLine="709"/>
        <w:jc w:val="both"/>
        <w:rPr>
          <w:rFonts w:ascii="Times New Roman" w:hAnsi="Times New Roman"/>
          <w:sz w:val="28"/>
          <w:szCs w:val="28"/>
          <w:lang w:val="uk-UA"/>
        </w:rPr>
      </w:pPr>
    </w:p>
    <w:p w:rsidR="00497C3E" w:rsidRPr="002F4F97" w:rsidRDefault="00497C3E" w:rsidP="001619E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Реалізація місцевих цільових та комплексних програм</w:t>
      </w:r>
    </w:p>
    <w:p w:rsidR="00497C3E" w:rsidRPr="002F4F97" w:rsidRDefault="00497C3E" w:rsidP="008B505C">
      <w:pPr>
        <w:spacing w:after="0" w:line="240" w:lineRule="auto"/>
        <w:ind w:firstLine="709"/>
        <w:jc w:val="both"/>
        <w:rPr>
          <w:rFonts w:ascii="Times New Roman" w:hAnsi="Times New Roman"/>
          <w:sz w:val="28"/>
          <w:szCs w:val="28"/>
          <w:lang w:val="uk-UA"/>
        </w:rPr>
      </w:pPr>
    </w:p>
    <w:p w:rsidR="00497C3E" w:rsidRPr="002F4F97" w:rsidRDefault="00497C3E" w:rsidP="008B505C">
      <w:pPr>
        <w:spacing w:after="0" w:line="240" w:lineRule="auto"/>
        <w:ind w:firstLine="709"/>
        <w:jc w:val="both"/>
        <w:rPr>
          <w:rFonts w:ascii="Times New Roman" w:hAnsi="Times New Roman"/>
          <w:sz w:val="28"/>
          <w:szCs w:val="28"/>
          <w:lang w:val="uk-UA" w:eastAsia="uk-UA"/>
        </w:rPr>
      </w:pPr>
      <w:r w:rsidRPr="002F4F97">
        <w:rPr>
          <w:rFonts w:ascii="Times New Roman" w:hAnsi="Times New Roman"/>
          <w:sz w:val="28"/>
          <w:szCs w:val="28"/>
          <w:lang w:val="uk-UA"/>
        </w:rPr>
        <w:t>В 2018 році в місті діяли 2</w:t>
      </w:r>
      <w:r>
        <w:rPr>
          <w:rFonts w:ascii="Times New Roman" w:hAnsi="Times New Roman"/>
          <w:sz w:val="28"/>
          <w:szCs w:val="28"/>
          <w:lang w:val="uk-UA"/>
        </w:rPr>
        <w:t>6</w:t>
      </w:r>
      <w:r w:rsidRPr="002F4F97">
        <w:rPr>
          <w:rFonts w:ascii="Times New Roman" w:hAnsi="Times New Roman"/>
          <w:sz w:val="28"/>
          <w:szCs w:val="28"/>
          <w:lang w:val="uk-UA"/>
        </w:rPr>
        <w:t xml:space="preserve"> місцевих цільових програм. У 2019 році Планом роботи Лисичанської міської ради передбачено внесення необхідних змін до ряду діючих програм з метою їх актуалізації та оновлення</w:t>
      </w:r>
      <w:r w:rsidRPr="002F4F97">
        <w:rPr>
          <w:rFonts w:ascii="Times New Roman" w:hAnsi="Times New Roman"/>
          <w:sz w:val="28"/>
          <w:szCs w:val="28"/>
          <w:lang w:val="uk-UA" w:eastAsia="uk-UA"/>
        </w:rPr>
        <w:t>. В 2019 році планується виконання 2</w:t>
      </w:r>
      <w:r>
        <w:rPr>
          <w:rFonts w:ascii="Times New Roman" w:hAnsi="Times New Roman"/>
          <w:sz w:val="28"/>
          <w:szCs w:val="28"/>
          <w:lang w:val="uk-UA" w:eastAsia="uk-UA"/>
        </w:rPr>
        <w:t>8</w:t>
      </w:r>
      <w:r w:rsidRPr="002F4F97">
        <w:rPr>
          <w:rFonts w:ascii="Times New Roman" w:hAnsi="Times New Roman"/>
          <w:sz w:val="28"/>
          <w:szCs w:val="28"/>
          <w:lang w:val="uk-UA" w:eastAsia="uk-UA"/>
        </w:rPr>
        <w:t xml:space="preserve"> місцевих цільових програм.</w:t>
      </w:r>
    </w:p>
    <w:p w:rsidR="00497C3E" w:rsidRPr="002F4F97" w:rsidRDefault="00497C3E" w:rsidP="008B505C">
      <w:pPr>
        <w:spacing w:after="0" w:line="240" w:lineRule="auto"/>
        <w:ind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br w:type="page"/>
      </w:r>
    </w:p>
    <w:p w:rsidR="00497C3E" w:rsidRPr="002F4F97" w:rsidRDefault="00497C3E" w:rsidP="006053D1">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РОЗВИТОК РЕАЛЬНОГО СЕКТОРУ ЕКОНОМІКИ</w:t>
      </w:r>
    </w:p>
    <w:p w:rsidR="00497C3E" w:rsidRPr="002F4F97" w:rsidRDefault="00497C3E" w:rsidP="0031258C">
      <w:pPr>
        <w:tabs>
          <w:tab w:val="left" w:pos="1560"/>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E242F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Промисловість</w:t>
      </w:r>
    </w:p>
    <w:p w:rsidR="00497C3E" w:rsidRPr="002F4F97" w:rsidRDefault="00497C3E" w:rsidP="00E242F7">
      <w:pPr>
        <w:spacing w:after="0" w:line="240" w:lineRule="auto"/>
        <w:ind w:firstLine="709"/>
        <w:jc w:val="both"/>
        <w:rPr>
          <w:rFonts w:ascii="Times New Roman" w:hAnsi="Times New Roman"/>
          <w:sz w:val="28"/>
          <w:szCs w:val="28"/>
          <w:lang w:val="uk-UA"/>
        </w:rPr>
      </w:pPr>
    </w:p>
    <w:p w:rsidR="00497C3E" w:rsidRPr="002F4F97" w:rsidRDefault="00497C3E" w:rsidP="00F11D2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січні-</w:t>
      </w:r>
      <w:r>
        <w:rPr>
          <w:rFonts w:ascii="Times New Roman" w:hAnsi="Times New Roman"/>
          <w:sz w:val="28"/>
          <w:szCs w:val="28"/>
          <w:lang w:val="uk-UA"/>
        </w:rPr>
        <w:t>грудні</w:t>
      </w:r>
      <w:r w:rsidRPr="002F4F97">
        <w:rPr>
          <w:rFonts w:ascii="Times New Roman" w:hAnsi="Times New Roman"/>
          <w:sz w:val="28"/>
          <w:szCs w:val="28"/>
          <w:lang w:val="uk-UA"/>
        </w:rPr>
        <w:t xml:space="preserve"> 2018 року реалізовано промислової продукції на суму 1 </w:t>
      </w:r>
      <w:r>
        <w:rPr>
          <w:rFonts w:ascii="Times New Roman" w:hAnsi="Times New Roman"/>
          <w:sz w:val="28"/>
          <w:szCs w:val="28"/>
          <w:lang w:val="uk-UA"/>
        </w:rPr>
        <w:t>607</w:t>
      </w:r>
      <w:r w:rsidRPr="002F4F97">
        <w:rPr>
          <w:rFonts w:ascii="Times New Roman" w:hAnsi="Times New Roman"/>
          <w:sz w:val="28"/>
          <w:szCs w:val="28"/>
          <w:lang w:val="uk-UA"/>
        </w:rPr>
        <w:t> </w:t>
      </w:r>
      <w:r>
        <w:rPr>
          <w:rFonts w:ascii="Times New Roman" w:hAnsi="Times New Roman"/>
          <w:sz w:val="28"/>
          <w:szCs w:val="28"/>
          <w:lang w:val="uk-UA"/>
        </w:rPr>
        <w:t>419</w:t>
      </w:r>
      <w:r w:rsidRPr="002F4F97">
        <w:rPr>
          <w:rFonts w:ascii="Times New Roman" w:hAnsi="Times New Roman"/>
          <w:sz w:val="28"/>
          <w:szCs w:val="28"/>
          <w:lang w:val="uk-UA"/>
        </w:rPr>
        <w:t>,</w:t>
      </w:r>
      <w:r>
        <w:rPr>
          <w:rFonts w:ascii="Times New Roman" w:hAnsi="Times New Roman"/>
          <w:sz w:val="28"/>
          <w:szCs w:val="28"/>
          <w:lang w:val="uk-UA"/>
        </w:rPr>
        <w:t xml:space="preserve">5 </w:t>
      </w:r>
      <w:r w:rsidRPr="002F4F97">
        <w:rPr>
          <w:rFonts w:ascii="Times New Roman" w:hAnsi="Times New Roman"/>
          <w:sz w:val="28"/>
          <w:szCs w:val="28"/>
          <w:lang w:val="uk-UA"/>
        </w:rPr>
        <w:t xml:space="preserve">тис. грн., що на </w:t>
      </w:r>
      <w:r>
        <w:rPr>
          <w:rFonts w:ascii="Times New Roman" w:hAnsi="Times New Roman"/>
          <w:sz w:val="28"/>
          <w:szCs w:val="28"/>
          <w:lang w:val="uk-UA"/>
        </w:rPr>
        <w:t>208</w:t>
      </w:r>
      <w:r w:rsidRPr="002F4F97">
        <w:rPr>
          <w:rFonts w:ascii="Times New Roman" w:hAnsi="Times New Roman"/>
          <w:sz w:val="28"/>
          <w:szCs w:val="28"/>
          <w:lang w:val="uk-UA"/>
        </w:rPr>
        <w:t> </w:t>
      </w:r>
      <w:r>
        <w:rPr>
          <w:rFonts w:ascii="Times New Roman" w:hAnsi="Times New Roman"/>
          <w:sz w:val="28"/>
          <w:szCs w:val="28"/>
          <w:lang w:val="uk-UA"/>
        </w:rPr>
        <w:t>689</w:t>
      </w:r>
      <w:r w:rsidRPr="002F4F97">
        <w:rPr>
          <w:rFonts w:ascii="Times New Roman" w:hAnsi="Times New Roman"/>
          <w:sz w:val="28"/>
          <w:szCs w:val="28"/>
          <w:lang w:val="uk-UA"/>
        </w:rPr>
        <w:t>,</w:t>
      </w:r>
      <w:r>
        <w:rPr>
          <w:rFonts w:ascii="Times New Roman" w:hAnsi="Times New Roman"/>
          <w:sz w:val="28"/>
          <w:szCs w:val="28"/>
          <w:lang w:val="uk-UA"/>
        </w:rPr>
        <w:t>4</w:t>
      </w:r>
      <w:r w:rsidRPr="002F4F97">
        <w:rPr>
          <w:rFonts w:ascii="Times New Roman" w:hAnsi="Times New Roman"/>
          <w:sz w:val="28"/>
          <w:szCs w:val="28"/>
          <w:lang w:val="uk-UA"/>
        </w:rPr>
        <w:t xml:space="preserve"> тис. грн., або на </w:t>
      </w:r>
      <w:r>
        <w:rPr>
          <w:rFonts w:ascii="Times New Roman" w:hAnsi="Times New Roman"/>
          <w:sz w:val="28"/>
          <w:szCs w:val="28"/>
          <w:lang w:val="uk-UA"/>
        </w:rPr>
        <w:t>41,21</w:t>
      </w:r>
      <w:r w:rsidRPr="002F4F97">
        <w:rPr>
          <w:rFonts w:ascii="Times New Roman" w:hAnsi="Times New Roman"/>
          <w:sz w:val="28"/>
          <w:szCs w:val="28"/>
          <w:lang w:val="uk-UA"/>
        </w:rPr>
        <w:t xml:space="preserve">% більше минулорічного показника. Обсяг реалізованої промислової продукції (товарів, послуг) без ПДВ та акцизу у відсотках до всієї реалізованої продукції в Луганській області складає </w:t>
      </w:r>
      <w:r>
        <w:rPr>
          <w:rFonts w:ascii="Times New Roman" w:hAnsi="Times New Roman"/>
          <w:sz w:val="28"/>
          <w:szCs w:val="28"/>
          <w:lang w:val="uk-UA"/>
        </w:rPr>
        <w:t>7,1</w:t>
      </w:r>
      <w:r w:rsidRPr="002F4F97">
        <w:rPr>
          <w:rFonts w:ascii="Times New Roman" w:hAnsi="Times New Roman"/>
          <w:sz w:val="28"/>
          <w:szCs w:val="28"/>
          <w:lang w:val="uk-UA"/>
        </w:rPr>
        <w:t xml:space="preserve">% (у 2017 р. – </w:t>
      </w:r>
      <w:r>
        <w:rPr>
          <w:rFonts w:ascii="Times New Roman" w:hAnsi="Times New Roman"/>
          <w:sz w:val="28"/>
          <w:szCs w:val="28"/>
          <w:lang w:val="uk-UA"/>
        </w:rPr>
        <w:t>4,9</w:t>
      </w:r>
      <w:r w:rsidRPr="002F4F97">
        <w:rPr>
          <w:rFonts w:ascii="Times New Roman" w:hAnsi="Times New Roman"/>
          <w:sz w:val="28"/>
          <w:szCs w:val="28"/>
          <w:lang w:val="uk-UA"/>
        </w:rPr>
        <w:t>%, у 2016 р. – 2,</w:t>
      </w:r>
      <w:r>
        <w:rPr>
          <w:rFonts w:ascii="Times New Roman" w:hAnsi="Times New Roman"/>
          <w:sz w:val="28"/>
          <w:szCs w:val="28"/>
          <w:lang w:val="uk-UA"/>
        </w:rPr>
        <w:t>4</w:t>
      </w:r>
      <w:r w:rsidRPr="002F4F97">
        <w:rPr>
          <w:rFonts w:ascii="Times New Roman" w:hAnsi="Times New Roman"/>
          <w:sz w:val="28"/>
          <w:szCs w:val="28"/>
          <w:lang w:val="uk-UA"/>
        </w:rPr>
        <w:t>%). Прогнозом основних показників соціально-економічного розвитку на 2018 рік було передбачено зростання цього показника до рівня 1 450,0 млн. грн., перевиконання прогнозу пояснюється насамперед зростанням цін на промислову продукцію міста. У 2019 році цей показник прогноз</w:t>
      </w:r>
      <w:r w:rsidR="00F11D25">
        <w:rPr>
          <w:rFonts w:ascii="Times New Roman" w:hAnsi="Times New Roman"/>
          <w:sz w:val="28"/>
          <w:szCs w:val="28"/>
          <w:lang w:val="uk-UA"/>
        </w:rPr>
        <w:t>ується на рівні 1,81 млрд. грн.</w:t>
      </w:r>
    </w:p>
    <w:p w:rsidR="00497C3E" w:rsidRPr="002F4F97" w:rsidRDefault="00F11D25" w:rsidP="00E242F7">
      <w:pPr>
        <w:spacing w:after="0" w:line="240" w:lineRule="auto"/>
        <w:ind w:firstLine="709"/>
        <w:jc w:val="both"/>
        <w:rPr>
          <w:rFonts w:ascii="Times New Roman" w:hAnsi="Times New Roman"/>
          <w:sz w:val="28"/>
          <w:szCs w:val="28"/>
          <w:lang w:val="uk-UA"/>
        </w:rPr>
      </w:pPr>
      <w:r w:rsidRPr="00F11D25">
        <w:rPr>
          <w:rFonts w:ascii="Times New Roman" w:hAnsi="Times New Roman"/>
          <w:sz w:val="28"/>
          <w:szCs w:val="28"/>
          <w:lang w:val="uk-UA"/>
        </w:rPr>
        <w:t>На території міста розташовані великі промислові підприємства хімічної, будівельної, переробної, вугледобувної галузей – ПрАТ «ЛІНІК», ТДВ «Лисичанський желатиновий завод», ПАТ «Лисичанськвугілля» тощо, які намагаються зберегти свої працездатні колективи та роблять</w:t>
      </w:r>
      <w:r w:rsidRPr="002F4F97">
        <w:rPr>
          <w:rFonts w:ascii="Times New Roman" w:hAnsi="Times New Roman"/>
          <w:sz w:val="28"/>
          <w:szCs w:val="28"/>
          <w:lang w:val="uk-UA"/>
        </w:rPr>
        <w:t xml:space="preserve"> </w:t>
      </w:r>
      <w:r>
        <w:rPr>
          <w:rFonts w:ascii="Times New Roman" w:hAnsi="Times New Roman"/>
          <w:sz w:val="28"/>
          <w:szCs w:val="28"/>
          <w:lang w:val="uk-UA"/>
        </w:rPr>
        <w:t>в</w:t>
      </w:r>
      <w:r w:rsidR="00497C3E" w:rsidRPr="002F4F97">
        <w:rPr>
          <w:rFonts w:ascii="Times New Roman" w:hAnsi="Times New Roman"/>
          <w:sz w:val="28"/>
          <w:szCs w:val="28"/>
          <w:lang w:val="uk-UA"/>
        </w:rPr>
        <w:t xml:space="preserve">агомий внесок у бюджет і </w:t>
      </w:r>
      <w:r>
        <w:rPr>
          <w:rFonts w:ascii="Times New Roman" w:hAnsi="Times New Roman"/>
          <w:sz w:val="28"/>
          <w:szCs w:val="28"/>
          <w:lang w:val="uk-UA"/>
        </w:rPr>
        <w:t>економіку</w:t>
      </w:r>
      <w:r w:rsidR="00497C3E" w:rsidRPr="002F4F97">
        <w:rPr>
          <w:rFonts w:ascii="Times New Roman" w:hAnsi="Times New Roman"/>
          <w:sz w:val="28"/>
          <w:szCs w:val="28"/>
          <w:lang w:val="uk-UA"/>
        </w:rPr>
        <w:t xml:space="preserve"> міста.</w:t>
      </w:r>
    </w:p>
    <w:p w:rsidR="00497C3E" w:rsidRPr="002F4F97" w:rsidRDefault="00497C3E" w:rsidP="002F1ED6">
      <w:pPr>
        <w:pStyle w:val="23"/>
        <w:shd w:val="clear" w:color="auto" w:fill="auto"/>
        <w:spacing w:line="240" w:lineRule="auto"/>
        <w:ind w:firstLine="709"/>
        <w:rPr>
          <w:sz w:val="28"/>
          <w:szCs w:val="28"/>
        </w:rPr>
      </w:pPr>
      <w:r w:rsidRPr="002F4F97">
        <w:rPr>
          <w:sz w:val="28"/>
          <w:szCs w:val="28"/>
        </w:rPr>
        <w:t>Програмою розвитку гірничих робіт на 2019 рік по ПАТ «Лисичанськвугілля» передбачено видобути 600,0 тис. тн вугілля, що на 285,0 тис. тн вище ніж 2018 р., у т.ч. по шахтам: ім. Д.Ф. Мельникова +87,2 тис. тн; ім. Г.Г. Капу стіна + 80,6 тис. тн; «Новодружеська» +50,5 тис. тн та «Привільнянська» +66,7 тис. тн до показників видобутку 2018 р.</w:t>
      </w:r>
    </w:p>
    <w:p w:rsidR="00497C3E" w:rsidRPr="002F4F97" w:rsidRDefault="00497C3E" w:rsidP="002F1ED6">
      <w:pPr>
        <w:pStyle w:val="23"/>
        <w:shd w:val="clear" w:color="auto" w:fill="auto"/>
        <w:spacing w:line="240" w:lineRule="auto"/>
        <w:ind w:firstLine="709"/>
        <w:rPr>
          <w:sz w:val="28"/>
          <w:szCs w:val="28"/>
        </w:rPr>
      </w:pPr>
      <w:r w:rsidRPr="002F4F97">
        <w:rPr>
          <w:sz w:val="28"/>
          <w:szCs w:val="28"/>
        </w:rPr>
        <w:t>Заплановано введення в роботу очисних вибоїв у т.ч. по шахтам:</w:t>
      </w:r>
    </w:p>
    <w:p w:rsidR="00497C3E" w:rsidRPr="002F4F97" w:rsidRDefault="00497C3E" w:rsidP="002F1ED6">
      <w:pPr>
        <w:pStyle w:val="23"/>
        <w:numPr>
          <w:ilvl w:val="0"/>
          <w:numId w:val="28"/>
        </w:numPr>
        <w:shd w:val="clear" w:color="auto" w:fill="auto"/>
        <w:spacing w:line="240" w:lineRule="auto"/>
        <w:rPr>
          <w:sz w:val="28"/>
          <w:szCs w:val="28"/>
        </w:rPr>
      </w:pPr>
      <w:r w:rsidRPr="002F4F97">
        <w:rPr>
          <w:sz w:val="28"/>
          <w:szCs w:val="28"/>
        </w:rPr>
        <w:t>ім. Д.Ф.Мельникова у тому числі: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 xml:space="preserve">1 півн. лава пл. </w:t>
      </w:r>
      <w:r w:rsidRPr="005A7FFD">
        <w:rPr>
          <w:sz w:val="28"/>
          <w:szCs w:val="28"/>
        </w:rPr>
        <w:fldChar w:fldCharType="begin"/>
      </w:r>
      <w:r w:rsidRPr="005A7FFD">
        <w:rPr>
          <w:sz w:val="28"/>
          <w:szCs w:val="28"/>
        </w:rPr>
        <w:instrText xml:space="preserve"> QUOTE </w:instrText>
      </w:r>
      <w:r w:rsidR="00523E5C">
        <w:pict>
          <v:shape id="_x0000_i1025" type="#_x0000_t75" style="width:11.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53D0B&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453D0B&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1&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5A7FFD">
        <w:rPr>
          <w:sz w:val="28"/>
          <w:szCs w:val="28"/>
        </w:rPr>
        <w:instrText xml:space="preserve"> </w:instrText>
      </w:r>
      <w:r w:rsidRPr="005A7FFD">
        <w:rPr>
          <w:sz w:val="28"/>
          <w:szCs w:val="28"/>
        </w:rPr>
        <w:fldChar w:fldCharType="separate"/>
      </w:r>
      <w:r w:rsidR="00523E5C">
        <w:pict>
          <v:shape id="_x0000_i1026" type="#_x0000_t75" style="width:11.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53D0B&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453D0B&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2&lt;/m:t&gt;&lt;/m:r&gt;&lt;/m:sub&gt;&lt;m:sup&gt;&lt;m:r&gt;&lt;w:rPr&gt;&lt;w:rFonts w:ascii=&quot;Cambria Math&quot; w:h-ansi=&quot;Cambria Math&quot;/&gt;&lt;wx:font wx:val=&quot;Cambria Math&quot;/&gt;&lt;w:i/&gt;&lt;w:sz w:val=&quot;28&quot;/&gt;&lt;w:sz-cs w:val=&quot;28&quot;/&gt;&lt;/w:rPr&gt;&lt;m:t&gt;1&lt;/m:t&gt;&lt;/m:r&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5A7FFD">
        <w:rPr>
          <w:sz w:val="28"/>
          <w:szCs w:val="28"/>
        </w:rPr>
        <w:fldChar w:fldCharType="end"/>
      </w:r>
      <w:r w:rsidRPr="002F4F97">
        <w:rPr>
          <w:sz w:val="28"/>
          <w:szCs w:val="28"/>
        </w:rPr>
        <w:t xml:space="preserve"> з навантаженням 710 тонн/добу у грудні;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 xml:space="preserve">1 півн. лава пл. </w:t>
      </w:r>
      <w:r w:rsidRPr="005A7FFD">
        <w:rPr>
          <w:sz w:val="28"/>
          <w:szCs w:val="28"/>
        </w:rPr>
        <w:fldChar w:fldCharType="begin"/>
      </w:r>
      <w:r w:rsidRPr="005A7FFD">
        <w:rPr>
          <w:sz w:val="28"/>
          <w:szCs w:val="28"/>
        </w:rPr>
        <w:instrText xml:space="preserve"> QUOTE </w:instrText>
      </w:r>
      <w:r w:rsidR="00523E5C">
        <w:pict>
          <v:shape id="_x0000_i1027" type="#_x0000_t75" style="width:13.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4C0F&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154C0F&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4&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5A7FFD">
        <w:rPr>
          <w:sz w:val="28"/>
          <w:szCs w:val="28"/>
        </w:rPr>
        <w:instrText xml:space="preserve"> </w:instrText>
      </w:r>
      <w:r w:rsidRPr="005A7FFD">
        <w:rPr>
          <w:sz w:val="28"/>
          <w:szCs w:val="28"/>
        </w:rPr>
        <w:fldChar w:fldCharType="separate"/>
      </w:r>
      <w:r w:rsidR="00523E5C">
        <w:pict>
          <v:shape id="_x0000_i1028" type="#_x0000_t75" style="width:13.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4C0F&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154C0F&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4&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5A7FFD">
        <w:rPr>
          <w:sz w:val="28"/>
          <w:szCs w:val="28"/>
        </w:rPr>
        <w:fldChar w:fldCharType="end"/>
      </w:r>
      <w:r w:rsidRPr="002F4F97">
        <w:rPr>
          <w:sz w:val="28"/>
          <w:szCs w:val="28"/>
        </w:rPr>
        <w:t xml:space="preserve"> з навантаженням 761 тонн/добу у травні.</w:t>
      </w:r>
    </w:p>
    <w:p w:rsidR="00497C3E" w:rsidRPr="002F4F97" w:rsidRDefault="00497C3E" w:rsidP="002F1ED6">
      <w:pPr>
        <w:pStyle w:val="23"/>
        <w:numPr>
          <w:ilvl w:val="0"/>
          <w:numId w:val="28"/>
        </w:numPr>
        <w:shd w:val="clear" w:color="auto" w:fill="auto"/>
        <w:spacing w:line="240" w:lineRule="auto"/>
        <w:rPr>
          <w:sz w:val="28"/>
          <w:szCs w:val="28"/>
        </w:rPr>
      </w:pPr>
      <w:r w:rsidRPr="002F4F97">
        <w:rPr>
          <w:sz w:val="28"/>
          <w:szCs w:val="28"/>
        </w:rPr>
        <w:t>ім.Г.Г.Капустіна у тому числі: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7 захід. лава пл. з навантаженням 345 тонн/добу у липні;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8 захід.лава пл.  з навантаженням 250 тонн/добу у грудні.</w:t>
      </w:r>
    </w:p>
    <w:p w:rsidR="00497C3E" w:rsidRPr="002F4F97" w:rsidRDefault="00497C3E" w:rsidP="002F1ED6">
      <w:pPr>
        <w:pStyle w:val="23"/>
        <w:numPr>
          <w:ilvl w:val="0"/>
          <w:numId w:val="28"/>
        </w:numPr>
        <w:shd w:val="clear" w:color="auto" w:fill="auto"/>
        <w:spacing w:line="240" w:lineRule="auto"/>
        <w:rPr>
          <w:sz w:val="28"/>
          <w:szCs w:val="28"/>
        </w:rPr>
      </w:pPr>
      <w:r w:rsidRPr="002F4F97">
        <w:rPr>
          <w:sz w:val="28"/>
          <w:szCs w:val="28"/>
        </w:rPr>
        <w:t>«Привільнянська» у тому числі: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 xml:space="preserve">1 північ, лава пл. </w:t>
      </w:r>
      <w:r w:rsidRPr="005A7FFD">
        <w:rPr>
          <w:sz w:val="28"/>
          <w:szCs w:val="28"/>
        </w:rPr>
        <w:fldChar w:fldCharType="begin"/>
      </w:r>
      <w:r w:rsidRPr="005A7FFD">
        <w:rPr>
          <w:sz w:val="28"/>
          <w:szCs w:val="28"/>
        </w:rPr>
        <w:instrText xml:space="preserve"> QUOTE </w:instrText>
      </w:r>
      <w:r w:rsidR="00523E5C">
        <w:pict>
          <v:shape id="_x0000_i1029"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2119B&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C2119B&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A7FFD">
        <w:rPr>
          <w:sz w:val="28"/>
          <w:szCs w:val="28"/>
        </w:rPr>
        <w:instrText xml:space="preserve"> </w:instrText>
      </w:r>
      <w:r w:rsidRPr="005A7FFD">
        <w:rPr>
          <w:sz w:val="28"/>
          <w:szCs w:val="28"/>
        </w:rPr>
        <w:fldChar w:fldCharType="separate"/>
      </w:r>
      <w:r w:rsidR="00523E5C">
        <w:pict>
          <v:shape id="_x0000_i1030"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2119B&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C2119B&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A7FFD">
        <w:rPr>
          <w:sz w:val="28"/>
          <w:szCs w:val="28"/>
        </w:rPr>
        <w:fldChar w:fldCharType="end"/>
      </w:r>
      <w:r w:rsidRPr="002F4F97">
        <w:rPr>
          <w:sz w:val="28"/>
          <w:szCs w:val="28"/>
        </w:rPr>
        <w:t xml:space="preserve"> з навантаженням 167 тонн/добу у січні;</w:t>
      </w:r>
    </w:p>
    <w:p w:rsidR="00497C3E" w:rsidRPr="002F4F97" w:rsidRDefault="00497C3E" w:rsidP="002F1ED6">
      <w:pPr>
        <w:pStyle w:val="23"/>
        <w:numPr>
          <w:ilvl w:val="0"/>
          <w:numId w:val="27"/>
        </w:numPr>
        <w:shd w:val="clear" w:color="auto" w:fill="auto"/>
        <w:spacing w:line="240" w:lineRule="auto"/>
        <w:ind w:left="1134"/>
        <w:rPr>
          <w:sz w:val="28"/>
          <w:szCs w:val="28"/>
        </w:rPr>
      </w:pPr>
      <w:r w:rsidRPr="002F4F97">
        <w:rPr>
          <w:sz w:val="28"/>
          <w:szCs w:val="28"/>
        </w:rPr>
        <w:t xml:space="preserve">1 півден. лава пл. </w:t>
      </w:r>
      <w:r w:rsidRPr="005A7FFD">
        <w:rPr>
          <w:sz w:val="28"/>
          <w:szCs w:val="28"/>
        </w:rPr>
        <w:fldChar w:fldCharType="begin"/>
      </w:r>
      <w:r w:rsidRPr="005A7FFD">
        <w:rPr>
          <w:sz w:val="28"/>
          <w:szCs w:val="28"/>
        </w:rPr>
        <w:instrText xml:space="preserve"> QUOTE </w:instrText>
      </w:r>
      <w:r w:rsidR="00523E5C">
        <w:pict>
          <v:shape id="_x0000_i1031"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2F94&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B12F9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A7FFD">
        <w:rPr>
          <w:sz w:val="28"/>
          <w:szCs w:val="28"/>
        </w:rPr>
        <w:instrText xml:space="preserve"> </w:instrText>
      </w:r>
      <w:r w:rsidRPr="005A7FFD">
        <w:rPr>
          <w:sz w:val="28"/>
          <w:szCs w:val="28"/>
        </w:rPr>
        <w:fldChar w:fldCharType="separate"/>
      </w:r>
      <w:r w:rsidR="00523E5C">
        <w:pict>
          <v:shape id="_x0000_i1032" type="#_x0000_t75" style="width:14.25pt;height:13.5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100&quot;/&gt;&lt;w:doNotEmbedSystemFonts/&gt;&lt;w:defaultTabStop w:val=&quot;708&quot;/&gt;&lt;w:drawingGridHorizontalSpacing w:val=&quot;110&quot;/&gt;&lt;w:displayHorizontalDrawingGridEvery w:val=&quot;2&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CA00A8&quot;/&gt;&lt;wsp:rsid wsp:val=&quot;00007E63&quot;/&gt;&lt;wsp:rsid wsp:val=&quot;00010A6F&quot;/&gt;&lt;wsp:rsid wsp:val=&quot;000125E1&quot;/&gt;&lt;wsp:rsid wsp:val=&quot;00012729&quot;/&gt;&lt;wsp:rsid wsp:val=&quot;00014984&quot;/&gt;&lt;wsp:rsid wsp:val=&quot;000178B7&quot;/&gt;&lt;wsp:rsid wsp:val=&quot;000179F8&quot;/&gt;&lt;wsp:rsid wsp:val=&quot;000202B3&quot;/&gt;&lt;wsp:rsid wsp:val=&quot;00030632&quot;/&gt;&lt;wsp:rsid wsp:val=&quot;00036640&quot;/&gt;&lt;wsp:rsid wsp:val=&quot;0005215F&quot;/&gt;&lt;wsp:rsid wsp:val=&quot;00064B93&quot;/&gt;&lt;wsp:rsid wsp:val=&quot;00076498&quot;/&gt;&lt;wsp:rsid wsp:val=&quot;000772A9&quot;/&gt;&lt;wsp:rsid wsp:val=&quot;0009390E&quot;/&gt;&lt;wsp:rsid wsp:val=&quot;00093AD7&quot;/&gt;&lt;wsp:rsid wsp:val=&quot;00094496&quot;/&gt;&lt;wsp:rsid wsp:val=&quot;000A00F3&quot;/&gt;&lt;wsp:rsid wsp:val=&quot;000A7B95&quot;/&gt;&lt;wsp:rsid wsp:val=&quot;000B2AE3&quot;/&gt;&lt;wsp:rsid wsp:val=&quot;000B7929&quot;/&gt;&lt;wsp:rsid wsp:val=&quot;000C402E&quot;/&gt;&lt;wsp:rsid wsp:val=&quot;000D2298&quot;/&gt;&lt;wsp:rsid wsp:val=&quot;000D446C&quot;/&gt;&lt;wsp:rsid wsp:val=&quot;000E7D97&quot;/&gt;&lt;wsp:rsid wsp:val=&quot;000F026F&quot;/&gt;&lt;wsp:rsid wsp:val=&quot;000F2FCB&quot;/&gt;&lt;wsp:rsid wsp:val=&quot;000F3297&quot;/&gt;&lt;wsp:rsid wsp:val=&quot;000F7D8B&quot;/&gt;&lt;wsp:rsid wsp:val=&quot;00103D0A&quot;/&gt;&lt;wsp:rsid wsp:val=&quot;00105F15&quot;/&gt;&lt;wsp:rsid wsp:val=&quot;00110755&quot;/&gt;&lt;wsp:rsid wsp:val=&quot;00112742&quot;/&gt;&lt;wsp:rsid wsp:val=&quot;001134E3&quot;/&gt;&lt;wsp:rsid wsp:val=&quot;00120A27&quot;/&gt;&lt;wsp:rsid wsp:val=&quot;001256C1&quot;/&gt;&lt;wsp:rsid wsp:val=&quot;0012766A&quot;/&gt;&lt;wsp:rsid wsp:val=&quot;00133111&quot;/&gt;&lt;wsp:rsid wsp:val=&quot;00135E30&quot;/&gt;&lt;wsp:rsid wsp:val=&quot;001443DB&quot;/&gt;&lt;wsp:rsid wsp:val=&quot;00144DE6&quot;/&gt;&lt;wsp:rsid wsp:val=&quot;00146328&quot;/&gt;&lt;wsp:rsid wsp:val=&quot;00146416&quot;/&gt;&lt;wsp:rsid wsp:val=&quot;00155385&quot;/&gt;&lt;wsp:rsid wsp:val=&quot;001619E1&quot;/&gt;&lt;wsp:rsid wsp:val=&quot;00164BE0&quot;/&gt;&lt;wsp:rsid wsp:val=&quot;00167C68&quot;/&gt;&lt;wsp:rsid wsp:val=&quot;001953B0&quot;/&gt;&lt;wsp:rsid wsp:val=&quot;001A0EB8&quot;/&gt;&lt;wsp:rsid wsp:val=&quot;001A269E&quot;/&gt;&lt;wsp:rsid wsp:val=&quot;001A3D50&quot;/&gt;&lt;wsp:rsid wsp:val=&quot;001A7B89&quot;/&gt;&lt;wsp:rsid wsp:val=&quot;001B1DC9&quot;/&gt;&lt;wsp:rsid wsp:val=&quot;001C15DD&quot;/&gt;&lt;wsp:rsid wsp:val=&quot;001C287E&quot;/&gt;&lt;wsp:rsid wsp:val=&quot;001C5BCD&quot;/&gt;&lt;wsp:rsid wsp:val=&quot;001C7CFA&quot;/&gt;&lt;wsp:rsid wsp:val=&quot;001D1D8A&quot;/&gt;&lt;wsp:rsid wsp:val=&quot;001D7E75&quot;/&gt;&lt;wsp:rsid wsp:val=&quot;001E1E77&quot;/&gt;&lt;wsp:rsid wsp:val=&quot;001E6591&quot;/&gt;&lt;wsp:rsid wsp:val=&quot;001F18E5&quot;/&gt;&lt;wsp:rsid wsp:val=&quot;001F22DA&quot;/&gt;&lt;wsp:rsid wsp:val=&quot;001F4DA7&quot;/&gt;&lt;wsp:rsid wsp:val=&quot;0020064F&quot;/&gt;&lt;wsp:rsid wsp:val=&quot;002013E7&quot;/&gt;&lt;wsp:rsid wsp:val=&quot;00201C83&quot;/&gt;&lt;wsp:rsid wsp:val=&quot;00203014&quot;/&gt;&lt;wsp:rsid wsp:val=&quot;00205F11&quot;/&gt;&lt;wsp:rsid wsp:val=&quot;0020627C&quot;/&gt;&lt;wsp:rsid wsp:val=&quot;00216499&quot;/&gt;&lt;wsp:rsid wsp:val=&quot;00220771&quot;/&gt;&lt;wsp:rsid wsp:val=&quot;00231B45&quot;/&gt;&lt;wsp:rsid wsp:val=&quot;0023348C&quot;/&gt;&lt;wsp:rsid wsp:val=&quot;00241A49&quot;/&gt;&lt;wsp:rsid wsp:val=&quot;00242195&quot;/&gt;&lt;wsp:rsid wsp:val=&quot;00252BC2&quot;/&gt;&lt;wsp:rsid wsp:val=&quot;00252E34&quot;/&gt;&lt;wsp:rsid wsp:val=&quot;00253957&quot;/&gt;&lt;wsp:rsid wsp:val=&quot;00256850&quot;/&gt;&lt;wsp:rsid wsp:val=&quot;00257CCC&quot;/&gt;&lt;wsp:rsid wsp:val=&quot;00261818&quot;/&gt;&lt;wsp:rsid wsp:val=&quot;00284227&quot;/&gt;&lt;wsp:rsid wsp:val=&quot;00290D48&quot;/&gt;&lt;wsp:rsid wsp:val=&quot;002A6CF2&quot;/&gt;&lt;wsp:rsid wsp:val=&quot;002B089D&quot;/&gt;&lt;wsp:rsid wsp:val=&quot;002B0B26&quot;/&gt;&lt;wsp:rsid wsp:val=&quot;002C150E&quot;/&gt;&lt;wsp:rsid wsp:val=&quot;002C21F8&quot;/&gt;&lt;wsp:rsid wsp:val=&quot;002C3B32&quot;/&gt;&lt;wsp:rsid wsp:val=&quot;002D692B&quot;/&gt;&lt;wsp:rsid wsp:val=&quot;002E5CA3&quot;/&gt;&lt;wsp:rsid wsp:val=&quot;002F1ED6&quot;/&gt;&lt;wsp:rsid wsp:val=&quot;002F4F97&quot;/&gt;&lt;wsp:rsid wsp:val=&quot;0030023F&quot;/&gt;&lt;wsp:rsid wsp:val=&quot;00303635&quot;/&gt;&lt;wsp:rsid wsp:val=&quot;0031258C&quot;/&gt;&lt;wsp:rsid wsp:val=&quot;00312D3C&quot;/&gt;&lt;wsp:rsid wsp:val=&quot;00314647&quot;/&gt;&lt;wsp:rsid wsp:val=&quot;003220D5&quot;/&gt;&lt;wsp:rsid wsp:val=&quot;00323EAB&quot;/&gt;&lt;wsp:rsid wsp:val=&quot;0032476B&quot;/&gt;&lt;wsp:rsid wsp:val=&quot;00336C55&quot;/&gt;&lt;wsp:rsid wsp:val=&quot;00340871&quot;/&gt;&lt;wsp:rsid wsp:val=&quot;00351334&quot;/&gt;&lt;wsp:rsid wsp:val=&quot;00362A7B&quot;/&gt;&lt;wsp:rsid wsp:val=&quot;0036304A&quot;/&gt;&lt;wsp:rsid wsp:val=&quot;00366D8A&quot;/&gt;&lt;wsp:rsid wsp:val=&quot;00370345&quot;/&gt;&lt;wsp:rsid wsp:val=&quot;0039148A&quot;/&gt;&lt;wsp:rsid wsp:val=&quot;003920EF&quot;/&gt;&lt;wsp:rsid wsp:val=&quot;003972C7&quot;/&gt;&lt;wsp:rsid wsp:val=&quot;003A2922&quot;/&gt;&lt;wsp:rsid wsp:val=&quot;003A76C0&quot;/&gt;&lt;wsp:rsid wsp:val=&quot;003B35BD&quot;/&gt;&lt;wsp:rsid wsp:val=&quot;003B519A&quot;/&gt;&lt;wsp:rsid wsp:val=&quot;003C15F1&quot;/&gt;&lt;wsp:rsid wsp:val=&quot;003C3665&quot;/&gt;&lt;wsp:rsid wsp:val=&quot;003E46C1&quot;/&gt;&lt;wsp:rsid wsp:val=&quot;003E54E1&quot;/&gt;&lt;wsp:rsid wsp:val=&quot;003F6564&quot;/&gt;&lt;wsp:rsid wsp:val=&quot;003F6F03&quot;/&gt;&lt;wsp:rsid wsp:val=&quot;004166AE&quot;/&gt;&lt;wsp:rsid wsp:val=&quot;004259A4&quot;/&gt;&lt;wsp:rsid wsp:val=&quot;00432DD3&quot;/&gt;&lt;wsp:rsid wsp:val=&quot;00433429&quot;/&gt;&lt;wsp:rsid wsp:val=&quot;00435557&quot;/&gt;&lt;wsp:rsid wsp:val=&quot;00440298&quot;/&gt;&lt;wsp:rsid wsp:val=&quot;004402E1&quot;/&gt;&lt;wsp:rsid wsp:val=&quot;00442979&quot;/&gt;&lt;wsp:rsid wsp:val=&quot;00451A40&quot;/&gt;&lt;wsp:rsid wsp:val=&quot;00461671&quot;/&gt;&lt;wsp:rsid wsp:val=&quot;00461A46&quot;/&gt;&lt;wsp:rsid wsp:val=&quot;00473624&quot;/&gt;&lt;wsp:rsid wsp:val=&quot;00476467&quot;/&gt;&lt;wsp:rsid wsp:val=&quot;00485B04&quot;/&gt;&lt;wsp:rsid wsp:val=&quot;00487FF9&quot;/&gt;&lt;wsp:rsid wsp:val=&quot;00495688&quot;/&gt;&lt;wsp:rsid wsp:val=&quot;00495783&quot;/&gt;&lt;wsp:rsid wsp:val=&quot;004A13A7&quot;/&gt;&lt;wsp:rsid wsp:val=&quot;004A4185&quot;/&gt;&lt;wsp:rsid wsp:val=&quot;004A7A19&quot;/&gt;&lt;wsp:rsid wsp:val=&quot;004B76BA&quot;/&gt;&lt;wsp:rsid wsp:val=&quot;004D040A&quot;/&gt;&lt;wsp:rsid wsp:val=&quot;004D50A3&quot;/&gt;&lt;wsp:rsid wsp:val=&quot;004D59F6&quot;/&gt;&lt;wsp:rsid wsp:val=&quot;004E4379&quot;/&gt;&lt;wsp:rsid wsp:val=&quot;004E76DC&quot;/&gt;&lt;wsp:rsid wsp:val=&quot;004E7B5C&quot;/&gt;&lt;wsp:rsid wsp:val=&quot;004F40EE&quot;/&gt;&lt;wsp:rsid wsp:val=&quot;005029E9&quot;/&gt;&lt;wsp:rsid wsp:val=&quot;005030D5&quot;/&gt;&lt;wsp:rsid wsp:val=&quot;0050442E&quot;/&gt;&lt;wsp:rsid wsp:val=&quot;00512C2E&quot;/&gt;&lt;wsp:rsid wsp:val=&quot;00513FA4&quot;/&gt;&lt;wsp:rsid wsp:val=&quot;00517269&quot;/&gt;&lt;wsp:rsid wsp:val=&quot;00517B3A&quot;/&gt;&lt;wsp:rsid wsp:val=&quot;00520C02&quot;/&gt;&lt;wsp:rsid wsp:val=&quot;0052120C&quot;/&gt;&lt;wsp:rsid wsp:val=&quot;00521357&quot;/&gt;&lt;wsp:rsid wsp:val=&quot;005307E3&quot;/&gt;&lt;wsp:rsid wsp:val=&quot;0053329E&quot;/&gt;&lt;wsp:rsid wsp:val=&quot;00546F52&quot;/&gt;&lt;wsp:rsid wsp:val=&quot;00554DC1&quot;/&gt;&lt;wsp:rsid wsp:val=&quot;00562177&quot;/&gt;&lt;wsp:rsid wsp:val=&quot;00565EC1&quot;/&gt;&lt;wsp:rsid wsp:val=&quot;00580AFE&quot;/&gt;&lt;wsp:rsid wsp:val=&quot;00586E22&quot;/&gt;&lt;wsp:rsid wsp:val=&quot;005A7FFD&quot;/&gt;&lt;wsp:rsid wsp:val=&quot;005B5089&quot;/&gt;&lt;wsp:rsid wsp:val=&quot;005B7300&quot;/&gt;&lt;wsp:rsid wsp:val=&quot;005C3BF5&quot;/&gt;&lt;wsp:rsid wsp:val=&quot;005C5888&quot;/&gt;&lt;wsp:rsid wsp:val=&quot;005D2F8B&quot;/&gt;&lt;wsp:rsid wsp:val=&quot;005D4BBD&quot;/&gt;&lt;wsp:rsid wsp:val=&quot;005E18BF&quot;/&gt;&lt;wsp:rsid wsp:val=&quot;005F3F96&quot;/&gt;&lt;wsp:rsid wsp:val=&quot;006053D1&quot;/&gt;&lt;wsp:rsid wsp:val=&quot;0061698F&quot;/&gt;&lt;wsp:rsid wsp:val=&quot;0062014D&quot;/&gt;&lt;wsp:rsid wsp:val=&quot;006214F2&quot;/&gt;&lt;wsp:rsid wsp:val=&quot;006319EC&quot;/&gt;&lt;wsp:rsid wsp:val=&quot;00633CC7&quot;/&gt;&lt;wsp:rsid wsp:val=&quot;006441EB&quot;/&gt;&lt;wsp:rsid wsp:val=&quot;00661F9E&quot;/&gt;&lt;wsp:rsid wsp:val=&quot;0067573F&quot;/&gt;&lt;wsp:rsid wsp:val=&quot;00676C66&quot;/&gt;&lt;wsp:rsid wsp:val=&quot;00676ED5&quot;/&gt;&lt;wsp:rsid wsp:val=&quot;006974A7&quot;/&gt;&lt;wsp:rsid wsp:val=&quot;006A7E30&quot;/&gt;&lt;wsp:rsid wsp:val=&quot;006B2AAF&quot;/&gt;&lt;wsp:rsid wsp:val=&quot;006B3A49&quot;/&gt;&lt;wsp:rsid wsp:val=&quot;006B4738&quot;/&gt;&lt;wsp:rsid wsp:val=&quot;006C0611&quot;/&gt;&lt;wsp:rsid wsp:val=&quot;006C4131&quot;/&gt;&lt;wsp:rsid wsp:val=&quot;006C499C&quot;/&gt;&lt;wsp:rsid wsp:val=&quot;006F1E51&quot;/&gt;&lt;wsp:rsid wsp:val=&quot;006F780A&quot;/&gt;&lt;wsp:rsid wsp:val=&quot;00700AB4&quot;/&gt;&lt;wsp:rsid wsp:val=&quot;0070474F&quot;/&gt;&lt;wsp:rsid wsp:val=&quot;0071594C&quot;/&gt;&lt;wsp:rsid wsp:val=&quot;00717AFE&quot;/&gt;&lt;wsp:rsid wsp:val=&quot;0074456E&quot;/&gt;&lt;wsp:rsid wsp:val=&quot;00747A55&quot;/&gt;&lt;wsp:rsid wsp:val=&quot;00755624&quot;/&gt;&lt;wsp:rsid wsp:val=&quot;00760D83&quot;/&gt;&lt;wsp:rsid wsp:val=&quot;00771069&quot;/&gt;&lt;wsp:rsid wsp:val=&quot;00771D48&quot;/&gt;&lt;wsp:rsid wsp:val=&quot;00775CC3&quot;/&gt;&lt;wsp:rsid wsp:val=&quot;00783FD4&quot;/&gt;&lt;wsp:rsid wsp:val=&quot;0078497D&quot;/&gt;&lt;wsp:rsid wsp:val=&quot;0078506C&quot;/&gt;&lt;wsp:rsid wsp:val=&quot;0079015B&quot;/&gt;&lt;wsp:rsid wsp:val=&quot;00790564&quot;/&gt;&lt;wsp:rsid wsp:val=&quot;0079419A&quot;/&gt;&lt;wsp:rsid wsp:val=&quot;007A5BAA&quot;/&gt;&lt;wsp:rsid wsp:val=&quot;007B1A4A&quot;/&gt;&lt;wsp:rsid wsp:val=&quot;007C391C&quot;/&gt;&lt;wsp:rsid wsp:val=&quot;007C46AC&quot;/&gt;&lt;wsp:rsid wsp:val=&quot;007C5C85&quot;/&gt;&lt;wsp:rsid wsp:val=&quot;007C7650&quot;/&gt;&lt;wsp:rsid wsp:val=&quot;007E0CFB&quot;/&gt;&lt;wsp:rsid wsp:val=&quot;007E31D4&quot;/&gt;&lt;wsp:rsid wsp:val=&quot;007E6F31&quot;/&gt;&lt;wsp:rsid wsp:val=&quot;007F05AA&quot;/&gt;&lt;wsp:rsid wsp:val=&quot;007F6439&quot;/&gt;&lt;wsp:rsid wsp:val=&quot;007F69EE&quot;/&gt;&lt;wsp:rsid wsp:val=&quot;00810BB2&quot;/&gt;&lt;wsp:rsid wsp:val=&quot;0081214A&quot;/&gt;&lt;wsp:rsid wsp:val=&quot;00817ABA&quot;/&gt;&lt;wsp:rsid wsp:val=&quot;008209C5&quot;/&gt;&lt;wsp:rsid wsp:val=&quot;008217EA&quot;/&gt;&lt;wsp:rsid wsp:val=&quot;00821A28&quot;/&gt;&lt;wsp:rsid wsp:val=&quot;00831BBD&quot;/&gt;&lt;wsp:rsid wsp:val=&quot;0084727A&quot;/&gt;&lt;wsp:rsid wsp:val=&quot;00852196&quot;/&gt;&lt;wsp:rsid wsp:val=&quot;008557CA&quot;/&gt;&lt;wsp:rsid wsp:val=&quot;0086175B&quot;/&gt;&lt;wsp:rsid wsp:val=&quot;00864F92&quot;/&gt;&lt;wsp:rsid wsp:val=&quot;008670A9&quot;/&gt;&lt;wsp:rsid wsp:val=&quot;00867AAA&quot;/&gt;&lt;wsp:rsid wsp:val=&quot;00867EEE&quot;/&gt;&lt;wsp:rsid wsp:val=&quot;00874170&quot;/&gt;&lt;wsp:rsid wsp:val=&quot;008A0561&quot;/&gt;&lt;wsp:rsid wsp:val=&quot;008A2248&quot;/&gt;&lt;wsp:rsid wsp:val=&quot;008A46A2&quot;/&gt;&lt;wsp:rsid wsp:val=&quot;008B4314&quot;/&gt;&lt;wsp:rsid wsp:val=&quot;008B4346&quot;/&gt;&lt;wsp:rsid wsp:val=&quot;008B505C&quot;/&gt;&lt;wsp:rsid wsp:val=&quot;008C325E&quot;/&gt;&lt;wsp:rsid wsp:val=&quot;008D7869&quot;/&gt;&lt;wsp:rsid wsp:val=&quot;008E070E&quot;/&gt;&lt;wsp:rsid wsp:val=&quot;008E1CEF&quot;/&gt;&lt;wsp:rsid wsp:val=&quot;009008B2&quot;/&gt;&lt;wsp:rsid wsp:val=&quot;009026D1&quot;/&gt;&lt;wsp:rsid wsp:val=&quot;00905CD9&quot;/&gt;&lt;wsp:rsid wsp:val=&quot;00907167&quot;/&gt;&lt;wsp:rsid wsp:val=&quot;00907D54&quot;/&gt;&lt;wsp:rsid wsp:val=&quot;00910B03&quot;/&gt;&lt;wsp:rsid wsp:val=&quot;009125A0&quot;/&gt;&lt;wsp:rsid wsp:val=&quot;00917532&quot;/&gt;&lt;wsp:rsid wsp:val=&quot;00927587&quot;/&gt;&lt;wsp:rsid wsp:val=&quot;00930374&quot;/&gt;&lt;wsp:rsid wsp:val=&quot;00932E2B&quot;/&gt;&lt;wsp:rsid wsp:val=&quot;0094276C&quot;/&gt;&lt;wsp:rsid wsp:val=&quot;00956D72&quot;/&gt;&lt;wsp:rsid wsp:val=&quot;0096042B&quot;/&gt;&lt;wsp:rsid wsp:val=&quot;00963528&quot;/&gt;&lt;wsp:rsid wsp:val=&quot;009643A7&quot;/&gt;&lt;wsp:rsid wsp:val=&quot;0096455D&quot;/&gt;&lt;wsp:rsid wsp:val=&quot;00965B84&quot;/&gt;&lt;wsp:rsid wsp:val=&quot;00975106&quot;/&gt;&lt;wsp:rsid wsp:val=&quot;009778F5&quot;/&gt;&lt;wsp:rsid wsp:val=&quot;00980988&quot;/&gt;&lt;wsp:rsid wsp:val=&quot;00980CAE&quot;/&gt;&lt;wsp:rsid wsp:val=&quot;009819D8&quot;/&gt;&lt;wsp:rsid wsp:val=&quot;00984A1E&quot;/&gt;&lt;wsp:rsid wsp:val=&quot;00985342&quot;/&gt;&lt;wsp:rsid wsp:val=&quot;0099182B&quot;/&gt;&lt;wsp:rsid wsp:val=&quot;009B4196&quot;/&gt;&lt;wsp:rsid wsp:val=&quot;009B69A5&quot;/&gt;&lt;wsp:rsid wsp:val=&quot;009C2A84&quot;/&gt;&lt;wsp:rsid wsp:val=&quot;009C7A61&quot;/&gt;&lt;wsp:rsid wsp:val=&quot;009E473A&quot;/&gt;&lt;wsp:rsid wsp:val=&quot;009F28CC&quot;/&gt;&lt;wsp:rsid wsp:val=&quot;00A02F1B&quot;/&gt;&lt;wsp:rsid wsp:val=&quot;00A039A8&quot;/&gt;&lt;wsp:rsid wsp:val=&quot;00A1694F&quot;/&gt;&lt;wsp:rsid wsp:val=&quot;00A20125&quot;/&gt;&lt;wsp:rsid wsp:val=&quot;00A2054C&quot;/&gt;&lt;wsp:rsid wsp:val=&quot;00A24BF4&quot;/&gt;&lt;wsp:rsid wsp:val=&quot;00A26E6D&quot;/&gt;&lt;wsp:rsid wsp:val=&quot;00A347FF&quot;/&gt;&lt;wsp:rsid wsp:val=&quot;00A377FB&quot;/&gt;&lt;wsp:rsid wsp:val=&quot;00A416AE&quot;/&gt;&lt;wsp:rsid wsp:val=&quot;00A44D57&quot;/&gt;&lt;wsp:rsid wsp:val=&quot;00A44E65&quot;/&gt;&lt;wsp:rsid wsp:val=&quot;00A570DE&quot;/&gt;&lt;wsp:rsid wsp:val=&quot;00A630A2&quot;/&gt;&lt;wsp:rsid wsp:val=&quot;00A672D8&quot;/&gt;&lt;wsp:rsid wsp:val=&quot;00A73076&quot;/&gt;&lt;wsp:rsid wsp:val=&quot;00A85C4F&quot;/&gt;&lt;wsp:rsid wsp:val=&quot;00A86E56&quot;/&gt;&lt;wsp:rsid wsp:val=&quot;00A97E7B&quot;/&gt;&lt;wsp:rsid wsp:val=&quot;00AA4B5E&quot;/&gt;&lt;wsp:rsid wsp:val=&quot;00AB003B&quot;/&gt;&lt;wsp:rsid wsp:val=&quot;00AD0E9A&quot;/&gt;&lt;wsp:rsid wsp:val=&quot;00AD1BDB&quot;/&gt;&lt;wsp:rsid wsp:val=&quot;00AD67DF&quot;/&gt;&lt;wsp:rsid wsp:val=&quot;00AE10E6&quot;/&gt;&lt;wsp:rsid wsp:val=&quot;00AE5B31&quot;/&gt;&lt;wsp:rsid wsp:val=&quot;00AF77ED&quot;/&gt;&lt;wsp:rsid wsp:val=&quot;00B02451&quot;/&gt;&lt;wsp:rsid wsp:val=&quot;00B10CC2&quot;/&gt;&lt;wsp:rsid wsp:val=&quot;00B12F94&quot;/&gt;&lt;wsp:rsid wsp:val=&quot;00B14B07&quot;/&gt;&lt;wsp:rsid wsp:val=&quot;00B14F54&quot;/&gt;&lt;wsp:rsid wsp:val=&quot;00B235A7&quot;/&gt;&lt;wsp:rsid wsp:val=&quot;00B33612&quot;/&gt;&lt;wsp:rsid wsp:val=&quot;00B46661&quot;/&gt;&lt;wsp:rsid wsp:val=&quot;00B510B3&quot;/&gt;&lt;wsp:rsid wsp:val=&quot;00B512B4&quot;/&gt;&lt;wsp:rsid wsp:val=&quot;00B53108&quot;/&gt;&lt;wsp:rsid wsp:val=&quot;00B570BE&quot;/&gt;&lt;wsp:rsid wsp:val=&quot;00B75795&quot;/&gt;&lt;wsp:rsid wsp:val=&quot;00B77DBD&quot;/&gt;&lt;wsp:rsid wsp:val=&quot;00B83494&quot;/&gt;&lt;wsp:rsid wsp:val=&quot;00B859F5&quot;/&gt;&lt;wsp:rsid wsp:val=&quot;00B9031F&quot;/&gt;&lt;wsp:rsid wsp:val=&quot;00B9690E&quot;/&gt;&lt;wsp:rsid wsp:val=&quot;00BA167C&quot;/&gt;&lt;wsp:rsid wsp:val=&quot;00BA4B75&quot;/&gt;&lt;wsp:rsid wsp:val=&quot;00BB1E3B&quot;/&gt;&lt;wsp:rsid wsp:val=&quot;00BB2B77&quot;/&gt;&lt;wsp:rsid wsp:val=&quot;00BB2E3C&quot;/&gt;&lt;wsp:rsid wsp:val=&quot;00BB3F1A&quot;/&gt;&lt;wsp:rsid wsp:val=&quot;00BC6AC1&quot;/&gt;&lt;wsp:rsid wsp:val=&quot;00BD1B73&quot;/&gt;&lt;wsp:rsid wsp:val=&quot;00BD25B2&quot;/&gt;&lt;wsp:rsid wsp:val=&quot;00BE1034&quot;/&gt;&lt;wsp:rsid wsp:val=&quot;00BE5CE2&quot;/&gt;&lt;wsp:rsid wsp:val=&quot;00BE6EFC&quot;/&gt;&lt;wsp:rsid wsp:val=&quot;00C010E3&quot;/&gt;&lt;wsp:rsid wsp:val=&quot;00C050ED&quot;/&gt;&lt;wsp:rsid wsp:val=&quot;00C13732&quot;/&gt;&lt;wsp:rsid wsp:val=&quot;00C3130F&quot;/&gt;&lt;wsp:rsid wsp:val=&quot;00C325F1&quot;/&gt;&lt;wsp:rsid wsp:val=&quot;00C3558E&quot;/&gt;&lt;wsp:rsid wsp:val=&quot;00C4128C&quot;/&gt;&lt;wsp:rsid wsp:val=&quot;00C4626C&quot;/&gt;&lt;wsp:rsid wsp:val=&quot;00C51AFF&quot;/&gt;&lt;wsp:rsid wsp:val=&quot;00C62AD0&quot;/&gt;&lt;wsp:rsid wsp:val=&quot;00C71EE1&quot;/&gt;&lt;wsp:rsid wsp:val=&quot;00C753EB&quot;/&gt;&lt;wsp:rsid wsp:val=&quot;00C86E81&quot;/&gt;&lt;wsp:rsid wsp:val=&quot;00C90AE5&quot;/&gt;&lt;wsp:rsid wsp:val=&quot;00C9271E&quot;/&gt;&lt;wsp:rsid wsp:val=&quot;00C9395F&quot;/&gt;&lt;wsp:rsid wsp:val=&quot;00C96662&quot;/&gt;&lt;wsp:rsid wsp:val=&quot;00C9741D&quot;/&gt;&lt;wsp:rsid wsp:val=&quot;00CA00A8&quot;/&gt;&lt;wsp:rsid wsp:val=&quot;00CA3485&quot;/&gt;&lt;wsp:rsid wsp:val=&quot;00CA7B0A&quot;/&gt;&lt;wsp:rsid wsp:val=&quot;00CB205B&quot;/&gt;&lt;wsp:rsid wsp:val=&quot;00CB46CA&quot;/&gt;&lt;wsp:rsid wsp:val=&quot;00CB6596&quot;/&gt;&lt;wsp:rsid wsp:val=&quot;00CC2869&quot;/&gt;&lt;wsp:rsid wsp:val=&quot;00CC6408&quot;/&gt;&lt;wsp:rsid wsp:val=&quot;00CC7388&quot;/&gt;&lt;wsp:rsid wsp:val=&quot;00CD1712&quot;/&gt;&lt;wsp:rsid wsp:val=&quot;00CD4406&quot;/&gt;&lt;wsp:rsid wsp:val=&quot;00CE698F&quot;/&gt;&lt;wsp:rsid wsp:val=&quot;00CE6FCA&quot;/&gt;&lt;wsp:rsid wsp:val=&quot;00CE78F4&quot;/&gt;&lt;wsp:rsid wsp:val=&quot;00D021E9&quot;/&gt;&lt;wsp:rsid wsp:val=&quot;00D06278&quot;/&gt;&lt;wsp:rsid wsp:val=&quot;00D06399&quot;/&gt;&lt;wsp:rsid wsp:val=&quot;00D119F7&quot;/&gt;&lt;wsp:rsid wsp:val=&quot;00D1645B&quot;/&gt;&lt;wsp:rsid wsp:val=&quot;00D21670&quot;/&gt;&lt;wsp:rsid wsp:val=&quot;00D32105&quot;/&gt;&lt;wsp:rsid wsp:val=&quot;00D44AF3&quot;/&gt;&lt;wsp:rsid wsp:val=&quot;00D47F7C&quot;/&gt;&lt;wsp:rsid wsp:val=&quot;00D5360B&quot;/&gt;&lt;wsp:rsid wsp:val=&quot;00D56482&quot;/&gt;&lt;wsp:rsid wsp:val=&quot;00D603D3&quot;/&gt;&lt;wsp:rsid wsp:val=&quot;00D83460&quot;/&gt;&lt;wsp:rsid wsp:val=&quot;00D834A7&quot;/&gt;&lt;wsp:rsid wsp:val=&quot;00D9031E&quot;/&gt;&lt;wsp:rsid wsp:val=&quot;00D96D57&quot;/&gt;&lt;wsp:rsid wsp:val=&quot;00D96F0D&quot;/&gt;&lt;wsp:rsid wsp:val=&quot;00DA0521&quot;/&gt;&lt;wsp:rsid wsp:val=&quot;00DA21D4&quot;/&gt;&lt;wsp:rsid wsp:val=&quot;00DA6CC8&quot;/&gt;&lt;wsp:rsid wsp:val=&quot;00DA75AA&quot;/&gt;&lt;wsp:rsid wsp:val=&quot;00DB4CFD&quot;/&gt;&lt;wsp:rsid wsp:val=&quot;00DB6AA2&quot;/&gt;&lt;wsp:rsid wsp:val=&quot;00DC0F81&quot;/&gt;&lt;wsp:rsid wsp:val=&quot;00DC3251&quot;/&gt;&lt;wsp:rsid wsp:val=&quot;00DC730B&quot;/&gt;&lt;wsp:rsid wsp:val=&quot;00DD2629&quot;/&gt;&lt;wsp:rsid wsp:val=&quot;00DD5085&quot;/&gt;&lt;wsp:rsid wsp:val=&quot;00DD567B&quot;/&gt;&lt;wsp:rsid wsp:val=&quot;00DE6E88&quot;/&gt;&lt;wsp:rsid wsp:val=&quot;00DF13A8&quot;/&gt;&lt;wsp:rsid wsp:val=&quot;00DF518B&quot;/&gt;&lt;wsp:rsid wsp:val=&quot;00DF6DA7&quot;/&gt;&lt;wsp:rsid wsp:val=&quot;00DF7B3A&quot;/&gt;&lt;wsp:rsid wsp:val=&quot;00E01920&quot;/&gt;&lt;wsp:rsid wsp:val=&quot;00E16C5E&quot;/&gt;&lt;wsp:rsid wsp:val=&quot;00E172CE&quot;/&gt;&lt;wsp:rsid wsp:val=&quot;00E20201&quot;/&gt;&lt;wsp:rsid wsp:val=&quot;00E24026&quot;/&gt;&lt;wsp:rsid wsp:val=&quot;00E242F7&quot;/&gt;&lt;wsp:rsid wsp:val=&quot;00E257C7&quot;/&gt;&lt;wsp:rsid wsp:val=&quot;00E54AE3&quot;/&gt;&lt;wsp:rsid wsp:val=&quot;00E6615A&quot;/&gt;&lt;wsp:rsid wsp:val=&quot;00E75922&quot;/&gt;&lt;wsp:rsid wsp:val=&quot;00E80E95&quot;/&gt;&lt;wsp:rsid wsp:val=&quot;00E84ECB&quot;/&gt;&lt;wsp:rsid wsp:val=&quot;00E91E5C&quot;/&gt;&lt;wsp:rsid wsp:val=&quot;00E92165&quot;/&gt;&lt;wsp:rsid wsp:val=&quot;00E95578&quot;/&gt;&lt;wsp:rsid wsp:val=&quot;00EB0E7E&quot;/&gt;&lt;wsp:rsid wsp:val=&quot;00EB69EF&quot;/&gt;&lt;wsp:rsid wsp:val=&quot;00ED4D45&quot;/&gt;&lt;wsp:rsid wsp:val=&quot;00EE3E8A&quot;/&gt;&lt;wsp:rsid wsp:val=&quot;00EF26C8&quot;/&gt;&lt;wsp:rsid wsp:val=&quot;00F04247&quot;/&gt;&lt;wsp:rsid wsp:val=&quot;00F169F2&quot;/&gt;&lt;wsp:rsid wsp:val=&quot;00F20C07&quot;/&gt;&lt;wsp:rsid wsp:val=&quot;00F24651&quot;/&gt;&lt;wsp:rsid wsp:val=&quot;00F25799&quot;/&gt;&lt;wsp:rsid wsp:val=&quot;00F31749&quot;/&gt;&lt;wsp:rsid wsp:val=&quot;00F5198B&quot;/&gt;&lt;wsp:rsid wsp:val=&quot;00F520DF&quot;/&gt;&lt;wsp:rsid wsp:val=&quot;00F53B9F&quot;/&gt;&lt;wsp:rsid wsp:val=&quot;00F55038&quot;/&gt;&lt;wsp:rsid wsp:val=&quot;00F56707&quot;/&gt;&lt;wsp:rsid wsp:val=&quot;00F60D83&quot;/&gt;&lt;wsp:rsid wsp:val=&quot;00F61914&quot;/&gt;&lt;wsp:rsid wsp:val=&quot;00F73D31&quot;/&gt;&lt;wsp:rsid wsp:val=&quot;00F77385&quot;/&gt;&lt;wsp:rsid wsp:val=&quot;00F91EDA&quot;/&gt;&lt;wsp:rsid wsp:val=&quot;00FA7B05&quot;/&gt;&lt;wsp:rsid wsp:val=&quot;00FB2E61&quot;/&gt;&lt;wsp:rsid wsp:val=&quot;00FB62A1&quot;/&gt;&lt;wsp:rsid wsp:val=&quot;00FD0A24&quot;/&gt;&lt;wsp:rsid wsp:val=&quot;00FE092F&quot;/&gt;&lt;wsp:rsid wsp:val=&quot;00FE1EAE&quot;/&gt;&lt;wsp:rsid wsp:val=&quot;00FE5791&quot;/&gt;&lt;/wsp:rsids&gt;&lt;/w:docPr&gt;&lt;w:body&gt;&lt;w:p wsp:rsidR=&quot;00000000&quot; wsp:rsidRDefault=&quot;00B12F94&quot;&gt;&lt;m:oMathPara&gt;&lt;m:oMath&gt;&lt;m:sSubSup&gt;&lt;m:sSubSupPr&gt;&lt;m:ctrlPr&gt;&lt;w:rPr&gt;&lt;w:rFonts w:ascii=&quot;Cambria Math&quot; w:h-ansi=&quot;Cambria Math&quot;/&gt;&lt;wx:font wx:val=&quot;Cambria Math&quot;/&gt;&lt;w:i/&gt;&lt;w:sz w:val=&quot;28&quot;/&gt;&lt;w:sz-cs w:val=&quot;28&quot;/&gt;&lt;/w:rPr&gt;&lt;/m:ctrlPr&gt;&lt;/m:sSubSupPr&gt;&lt;m:e&gt;&lt;m:r&gt;&lt;w:rPr&gt;&lt;w:rFonts w:ascii=&quot;Cambria Math&quot; w:h-ansi=&quot;Cambria Math&quot;/&gt;&lt;wx:font wx:val=&quot;Cambria Math&quot;/&gt;&lt;w:i/&gt;&lt;w:sz w:val=&quot;28&quot;/&gt;&lt;w:sz-cs w:val=&quot;28&quot;/&gt;&lt;/w:rPr&gt;&lt;m:t&gt;l&lt;/m:t&gt;&lt;/m:r&gt;&lt;/m:e&gt;&lt;m:sub&gt;&lt;m:r&gt;&lt;w:rPr&gt;&lt;w:rFonts w:ascii=&quot;Cambria Math&quot; w:h-ansi=&quot;Cambria Math&quot;/&gt;&lt;wx:font wx:val=&quot;Cambria Math&quot;/&gt;&lt;w:i/&gt;&lt;w:sz w:val=&quot;28&quot;/&gt;&lt;w:sz-cs w:val=&quot;28&quot;/&gt;&lt;/w:rPr&gt;&lt;m:t&gt;1&lt;/m:t&gt;&lt;/m:r&gt;&lt;/m:sub&gt;&lt;m:sup/&gt;&lt;/m:sSubSup&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1" o:title="" chromakey="white"/>
          </v:shape>
        </w:pict>
      </w:r>
      <w:r w:rsidRPr="005A7FFD">
        <w:rPr>
          <w:sz w:val="28"/>
          <w:szCs w:val="28"/>
        </w:rPr>
        <w:fldChar w:fldCharType="end"/>
      </w:r>
      <w:r w:rsidRPr="002F4F97">
        <w:rPr>
          <w:sz w:val="28"/>
          <w:szCs w:val="28"/>
        </w:rPr>
        <w:t xml:space="preserve"> з навантаженням 303 тонн/добу у листопаді.</w:t>
      </w:r>
    </w:p>
    <w:p w:rsidR="00497C3E" w:rsidRPr="002F4F97" w:rsidRDefault="00497C3E" w:rsidP="002F1ED6">
      <w:pPr>
        <w:pStyle w:val="23"/>
        <w:shd w:val="clear" w:color="auto" w:fill="auto"/>
        <w:spacing w:line="240" w:lineRule="auto"/>
        <w:ind w:firstLine="709"/>
        <w:rPr>
          <w:sz w:val="28"/>
          <w:szCs w:val="28"/>
        </w:rPr>
      </w:pPr>
      <w:r w:rsidRPr="002F4F97">
        <w:rPr>
          <w:sz w:val="28"/>
          <w:szCs w:val="28"/>
        </w:rPr>
        <w:t>ПАТ «Лисичанськвугілля» планує забезпечити проведення 8400 м гірничих виробок (+1548 м до 2018 р.), в тому числі 7360 м розкривних і підготовчих (+5460 м до 2018 р.). Отримати товарну продукцію в обсязі 359,5 тис. тн на суму 863,0 млн. грн., що більше ніж у 2018 році на 213,1 тис. тн.</w:t>
      </w:r>
    </w:p>
    <w:p w:rsidR="00497C3E" w:rsidRPr="002F4F97" w:rsidRDefault="00497C3E" w:rsidP="002F1ED6">
      <w:pPr>
        <w:pStyle w:val="23"/>
        <w:shd w:val="clear" w:color="auto" w:fill="auto"/>
        <w:tabs>
          <w:tab w:val="right" w:pos="8526"/>
          <w:tab w:val="left" w:pos="8731"/>
        </w:tabs>
        <w:spacing w:line="240" w:lineRule="auto"/>
        <w:ind w:firstLine="709"/>
        <w:rPr>
          <w:sz w:val="28"/>
          <w:szCs w:val="28"/>
        </w:rPr>
      </w:pPr>
      <w:r w:rsidRPr="002F4F97">
        <w:rPr>
          <w:sz w:val="28"/>
          <w:szCs w:val="28"/>
        </w:rPr>
        <w:t xml:space="preserve">Для своєчасного вводу в експлуатацію очисних вибоїв, забезпечення запланованого об’єму видобутку та проведення гірничих виробок ПАТ «Лисичанськвугілля» потребує бюджетного фінансування в сумі 2164,9 млн. грн. на реалізацію інвестиційної, реноваційної програм та держпідтримка на часткове покриття витрат із собівартості товарної </w:t>
      </w:r>
      <w:r w:rsidRPr="002F4F97">
        <w:rPr>
          <w:sz w:val="28"/>
          <w:szCs w:val="28"/>
        </w:rPr>
        <w:lastRenderedPageBreak/>
        <w:t>вугільної продукції. Слід зазначити, що н</w:t>
      </w:r>
      <w:r w:rsidRPr="002F4F97">
        <w:rPr>
          <w:rStyle w:val="8"/>
          <w:sz w:val="28"/>
          <w:szCs w:val="28"/>
        </w:rPr>
        <w:t>есвоєчасне введення в роботу очисних вибоїв не дозволить підприємству отримувати кошти від реалізації вугілля та своєчасно виплачувати заробітну плату, забезпечувати технологічні нужди підприємства та належні умови охорони праці</w:t>
      </w:r>
      <w:r w:rsidRPr="002F4F97">
        <w:rPr>
          <w:rStyle w:val="8"/>
          <w:szCs w:val="28"/>
        </w:rPr>
        <w:t>.</w:t>
      </w:r>
    </w:p>
    <w:p w:rsidR="00497C3E" w:rsidRDefault="00497C3E" w:rsidP="00DA6CC8">
      <w:pPr>
        <w:pStyle w:val="23"/>
        <w:shd w:val="clear" w:color="auto" w:fill="auto"/>
        <w:spacing w:line="240" w:lineRule="auto"/>
        <w:ind w:firstLine="709"/>
        <w:rPr>
          <w:sz w:val="28"/>
          <w:szCs w:val="28"/>
        </w:rPr>
      </w:pPr>
      <w:r w:rsidRPr="002F4F97">
        <w:rPr>
          <w:sz w:val="28"/>
          <w:szCs w:val="28"/>
        </w:rPr>
        <w:t>У 2018 році, згідно з графіком підготовки ПрАТ «Линік» до роботи в осінньо-зимовий період, виконано комплекс ремонтних робіт для забезпечення роботи ТЕЦ і ряду об’єктів. Інвестиційна діяльність підприємства спрямована на підтримку обладнання у робочому стані. З метою впровадження енергозберігаючих заходів розпочато реалізацію проекту «Придбання та монтаж модульних водогрійних котелень». У 2019 році планується введення в експлуатацію модульних водогрійних котелень.</w:t>
      </w:r>
      <w:r w:rsidR="00755249">
        <w:rPr>
          <w:sz w:val="28"/>
          <w:szCs w:val="28"/>
        </w:rPr>
        <w:t xml:space="preserve"> </w:t>
      </w:r>
      <w:r w:rsidRPr="002F4F97">
        <w:rPr>
          <w:sz w:val="28"/>
          <w:szCs w:val="28"/>
        </w:rPr>
        <w:t>Відсутність надійного енергопостачання ПрАТ «Линік», шляхом надійного з’єднання регіону з ЄЕС України унеможливлює безпечний пуск те</w:t>
      </w:r>
      <w:r>
        <w:rPr>
          <w:sz w:val="28"/>
          <w:szCs w:val="28"/>
        </w:rPr>
        <w:t>хнологічного процесу на заводі.</w:t>
      </w:r>
      <w:r w:rsidR="00F11D25">
        <w:rPr>
          <w:sz w:val="28"/>
          <w:szCs w:val="28"/>
        </w:rPr>
        <w:t xml:space="preserve"> </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Основним видом діяльності ПАТ «Рідкісні гази» є виробництво та реалізація промислових газів. Обсяги виробництва та реалізації значно знизились у зв'язку з відсутністю переробки криптоно</w:t>
      </w:r>
      <w:r>
        <w:rPr>
          <w:sz w:val="28"/>
          <w:szCs w:val="28"/>
        </w:rPr>
        <w:t>-</w:t>
      </w:r>
      <w:r w:rsidRPr="002F4F97">
        <w:rPr>
          <w:sz w:val="28"/>
          <w:szCs w:val="28"/>
        </w:rPr>
        <w:t>ксенонової суміші. Обсяг товарної продукції у діючих цінах складає 1697,8 тис. грн., що порівняно з 2017 роком складає лише 8%. Фінансовий результат від основної діяльності – збитки у розмірі 962 тис. грн. Підприємство працює в режимі неповної робочої неділі та неповного робочого дня.</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ТОВ «Лиспи» у 2018 році збільшило випуск продукції як в натуральному так і в грошовому еквіваленті. Проводяться роботи по модернізації устаткування для поліпшення смакових якостей продукції.</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ТОВ Виробничо-торгова фірма «Шарм» працює виключно по виготовленню швейних виробів з давальницької сировини. Тому, діяльність колективу залежить від іноземних замовлень. Чисельність працівників складає 40 чоловік. Однак, на підприємстві багато вільних роботах місць, на які не вистачає кваліфікованих робочих кадрів (швачок).</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В разі укомплектування пошивного цеху, колектив мав би змогу брати замовлення в більших об'ємах. Відповідно з цих отримувати більший прибуток та знижувати собівартості одиниці виробленої продукції. Вкладення інвестиції в основний капітал проводилися виключно за власні кошти (на придбання обладнання, запасних частин, пристосувань та тощо).</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 xml:space="preserve">За результатами роботи </w:t>
      </w:r>
      <w:r w:rsidR="00755249">
        <w:rPr>
          <w:sz w:val="28"/>
          <w:szCs w:val="28"/>
        </w:rPr>
        <w:t>у</w:t>
      </w:r>
      <w:r w:rsidRPr="002F4F97">
        <w:rPr>
          <w:sz w:val="28"/>
          <w:szCs w:val="28"/>
        </w:rPr>
        <w:t xml:space="preserve"> 2018 року підприємство ТОВ «Ялинкові прикраси» випустило продукції </w:t>
      </w:r>
      <w:r w:rsidR="00755249">
        <w:rPr>
          <w:sz w:val="28"/>
          <w:szCs w:val="28"/>
        </w:rPr>
        <w:t>більше 5 млн. грн.</w:t>
      </w:r>
      <w:r w:rsidRPr="002F4F97">
        <w:rPr>
          <w:sz w:val="28"/>
          <w:szCs w:val="28"/>
        </w:rPr>
        <w:t xml:space="preserve">, що відповідає обсягу, запланованому на 2018 рік. Обсяг реалізованої продукції </w:t>
      </w:r>
      <w:r w:rsidR="00755249">
        <w:rPr>
          <w:sz w:val="28"/>
          <w:szCs w:val="28"/>
        </w:rPr>
        <w:t>у</w:t>
      </w:r>
      <w:r w:rsidRPr="002F4F97">
        <w:rPr>
          <w:sz w:val="28"/>
          <w:szCs w:val="28"/>
        </w:rPr>
        <w:t xml:space="preserve"> 2018 р</w:t>
      </w:r>
      <w:r w:rsidR="00755249">
        <w:rPr>
          <w:sz w:val="28"/>
          <w:szCs w:val="28"/>
        </w:rPr>
        <w:t>.</w:t>
      </w:r>
      <w:r w:rsidRPr="002F4F97">
        <w:rPr>
          <w:sz w:val="28"/>
          <w:szCs w:val="28"/>
        </w:rPr>
        <w:t xml:space="preserve"> складає на 3,1% більше запланованого, </w:t>
      </w:r>
      <w:r w:rsidR="00755249">
        <w:rPr>
          <w:sz w:val="28"/>
          <w:szCs w:val="28"/>
        </w:rPr>
        <w:t>експортні операції виконані на суму 4923,1 тис. грн</w:t>
      </w:r>
      <w:r w:rsidRPr="002F4F97">
        <w:rPr>
          <w:sz w:val="28"/>
          <w:szCs w:val="28"/>
        </w:rPr>
        <w:t>. У 2019 р. планується і надалі вести роботи з метою утримувати обсяг виробництва та реалізації на рівні, не нижчому за рівень 2018 року.</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 xml:space="preserve">ТОВ «Екотех» за 2018 р. отримало фінансовий результат до оподаткування </w:t>
      </w:r>
      <w:r w:rsidR="00755249">
        <w:rPr>
          <w:sz w:val="28"/>
          <w:szCs w:val="28"/>
        </w:rPr>
        <w:t>– збиток у сумі 1266,8 тис. грн</w:t>
      </w:r>
      <w:r w:rsidRPr="002F4F97">
        <w:rPr>
          <w:sz w:val="28"/>
          <w:szCs w:val="28"/>
        </w:rPr>
        <w:t xml:space="preserve">. Чистий дохід від реалізації продукції (товарів, робіт, послуг) склав 11055,7 тис. грн., собівартість реалізованої продукції 5974,2 тис. грн. В 2019 р. підприємство планує введення в експлуатацію модульних котелень для середньо загальноосвітніх </w:t>
      </w:r>
      <w:r w:rsidRPr="002F4F97">
        <w:rPr>
          <w:sz w:val="28"/>
          <w:szCs w:val="28"/>
        </w:rPr>
        <w:lastRenderedPageBreak/>
        <w:t>шкіл м. Сєвєродонецька.</w:t>
      </w:r>
    </w:p>
    <w:p w:rsidR="00497C3E" w:rsidRPr="002F4F97" w:rsidRDefault="00497C3E" w:rsidP="00DA6CC8">
      <w:pPr>
        <w:pStyle w:val="23"/>
        <w:shd w:val="clear" w:color="auto" w:fill="auto"/>
        <w:spacing w:line="240" w:lineRule="auto"/>
        <w:ind w:firstLine="709"/>
        <w:rPr>
          <w:sz w:val="28"/>
          <w:szCs w:val="28"/>
        </w:rPr>
      </w:pPr>
      <w:r w:rsidRPr="00755249">
        <w:rPr>
          <w:sz w:val="28"/>
          <w:szCs w:val="28"/>
        </w:rPr>
        <w:t xml:space="preserve">ТОВ «Лайон» </w:t>
      </w:r>
      <w:r w:rsidR="00755249" w:rsidRPr="00755249">
        <w:rPr>
          <w:sz w:val="28"/>
          <w:szCs w:val="28"/>
        </w:rPr>
        <w:t>планується о</w:t>
      </w:r>
      <w:r w:rsidRPr="002F4F97">
        <w:rPr>
          <w:sz w:val="28"/>
          <w:szCs w:val="28"/>
        </w:rPr>
        <w:t>бсяг реалізації в 2019 р. на рівні 12 млн. грн. Головними пріоритетами у роботі вважає збереження старих ринків збуту та пошук вітчизняних постачальників сировини.</w:t>
      </w:r>
    </w:p>
    <w:p w:rsidR="00497C3E" w:rsidRPr="002F4F97" w:rsidRDefault="00497C3E" w:rsidP="00DA6CC8">
      <w:pPr>
        <w:pStyle w:val="23"/>
        <w:shd w:val="clear" w:color="auto" w:fill="auto"/>
        <w:spacing w:line="240" w:lineRule="auto"/>
        <w:ind w:firstLine="709"/>
        <w:rPr>
          <w:sz w:val="28"/>
          <w:szCs w:val="28"/>
        </w:rPr>
      </w:pPr>
      <w:r w:rsidRPr="002F4F97">
        <w:rPr>
          <w:sz w:val="28"/>
          <w:szCs w:val="28"/>
        </w:rPr>
        <w:t>ДП «Лисичанський склозавод», повідомляє, що у відповідності до вимог пункту 11 Порядку повернення орендованих цілісних майнових комплексів державних підприємств після припинення або розірвання договору оренди, затвердженого наказом Фонду державного майна України від 07.08.1997 року № 847, розпорядження Кабінету Міністрів України від 25.10.2017 № 774-р, наказу Міністерства економічного розвитку і торгівлі України від 08.10.2018 № 1460, спільного наказу Регіонального відділення Фонду державного майна України по Луганській області та Міністерства економічного розвитку і торгівлі України від 19.07.2018 № 246/988, здійснено приймання цілісного майнового комплексу державного підприємства «Ордена Трудового Червоного Прапора Державний скляний завод «Пролетарій» у повне господарське відання, відповідні Акти приймання-передачі приймання ЦМК підписані 30.10.2018 року. Майно прийнято на баланс за даними інвентаризації майна, проведеною станом на 31.12.2011 року, передавальний баланс ПАТ «Лисичанський склозавод «Пролетарій» станом на 30.09.2018 року отриманий 30.10.2018 року; 12.11.2018 року розпочали свою роботу інвентаризаційні робочі групи з проведення інвентаризації майна ЦМК склозаводу «Пролетарій». Інвентаризація майна триває</w:t>
      </w:r>
      <w:r w:rsidRPr="002F4F97">
        <w:rPr>
          <w:rStyle w:val="a5"/>
          <w:sz w:val="28"/>
          <w:szCs w:val="28"/>
        </w:rPr>
        <w:footnoteReference w:id="1"/>
      </w:r>
      <w:r w:rsidRPr="002F4F97">
        <w:rPr>
          <w:sz w:val="28"/>
          <w:szCs w:val="28"/>
        </w:rPr>
        <w:t>.</w:t>
      </w:r>
    </w:p>
    <w:p w:rsidR="00497C3E" w:rsidRPr="002F4F97" w:rsidRDefault="00497C3E" w:rsidP="00E242F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зв’язку зі складною соціально-політичною ситуацією та підвищенням цін на енергоносії переважна більшість основних підприємств не планують створення нових робочих місць, а також реалізацію інвестиційних проектів. Але, тим не менше, основні підприємства промислового сектору розраховують протягом 2019 року повністю погасити заборгованість з виплати заробітної плати, ПАТ «Лисичанськвугілля» планує збільшити обсяг виробленої продукції і помітно збільшити середньооблікову чисельність штатних працівників. Ці факти мають позитивно вплинути на загальні показники діяльності промислового сектору міста та обсяг надходжень до бюджетів всіх рівнів.</w:t>
      </w:r>
    </w:p>
    <w:p w:rsidR="00497C3E" w:rsidRPr="002F4F97" w:rsidRDefault="00497C3E" w:rsidP="00E242F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Негативний вплив на господарську діяльність місцевих товаровиробників, здійснює відсутність сталого енергопостачання, відсутність двох незалежних вводів електропостачання на ці підприємства унеможливлює безпечний запуск технологічного безперервного процесу.</w:t>
      </w:r>
    </w:p>
    <w:p w:rsidR="00497C3E" w:rsidRPr="002F4F97" w:rsidRDefault="00497C3E" w:rsidP="00A2012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Стабільна безперебійна робота всіх без виключення промислових підприємств міста залежить від сталого електропостачання. Слід зазначити, що аварійне відключення електроенергії може потягнути за собою повне знищення окремих виробництв, та більш того – може стати причиною техногенних катастроф із незворотними екологічними наслідками.</w:t>
      </w:r>
    </w:p>
    <w:p w:rsidR="00497C3E" w:rsidRPr="002F4F97" w:rsidRDefault="00497C3E" w:rsidP="00E242F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Враховуючи важливість стабільного енергопостачання Лисичанська міська рада та її виконавчі органи неодноразово звертались на адресу Луганської обласної державної адміністрації, ДП «НЕК «Укренерго», Кабінету Міністрів України та Президента України щодо підключення Луганської області до Єдиної енергетичної системи. В результаті цієї роботи розпочалась реалізація проекту «Нове будівництво ПС 500 кВ «Кремінська» з заходами ПЛ 500 кВ «Донбаська – Донська» та ПЛ 220 кВ «Кремінська – Ювілейна». Орієнтовний термін введення підстанцій та ліній електропередач в роботу – кінець 2019 року.</w:t>
      </w:r>
    </w:p>
    <w:p w:rsidR="00497C3E" w:rsidRPr="002F4F97" w:rsidRDefault="00497C3E" w:rsidP="005D4BBD">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Відновлення сталого електропостачання та наявність двох незалежних вводів електропостачання є одним з факторів, який надасть змогу відновити в повному обсязі діяльність перелічених вище підприємств хімічної, переробної та вугледобувної галузей, а також забезпечить можливість сталої роботи підприємств будівельної галузі, продукція яких може бути використана для відновлення постраждалих промислових та житлових об’єктів Луганської області.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 xml:space="preserve">недостатня підтримка на державному рівні реального сектору економіки (національного товаровиробника) та розвитку промисловості; </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велике ввізне мито та акцизи на імпортовану сировину, виробництво якої відсутнє в Україні;</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 відшкодування податку на додану вартість промисловим підприємствам міста;</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порушення енергетичної інфраструктури Луганської області.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32476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Сприяння нарощуванню обсягів виробництва на підприємствах усіх форм власності та освоєння нових видів конкурентоспроможної продукції на рівні світових зразків, підвищення її якості.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створення усіх передумов для скорішого та якісного збільшення обсягів виробництва;</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всебічно сприяти реалізації плану заходів щодо підключення північної частини Луганської області до Єдиної енергосистеми України;</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забезпечити підтримку та захист інтересів місцевих товаровиробників, насамперед вугільної, хімічної промисловості та зайнятих виробництвом іншої неметалевої мінеральної продукції, за допомогою підготовки звернень на адресу органів виконавчої влади всіх рівнів із урахуванням пропозицій промислових підприємств;</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проводити передбачені Програмою заходи з відбудови транспортної інфраструктури із урахуванням інтересів та логістичних потреб промисловості міста;</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сприяти відновленню надання у повному обсязі послуг залізничного транспорту на території міста;</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 xml:space="preserve">сприяння реалізації запланованих заходів інвестиційних програм промислових підприємств міста в межах повноважень </w:t>
      </w:r>
      <w:r w:rsidR="00A2503B">
        <w:rPr>
          <w:rFonts w:ascii="Times New Roman" w:hAnsi="Times New Roman"/>
          <w:sz w:val="28"/>
          <w:szCs w:val="28"/>
          <w:lang w:val="uk-UA"/>
        </w:rPr>
        <w:t>органів місцевого с</w:t>
      </w:r>
      <w:r w:rsidR="00BA7563">
        <w:rPr>
          <w:rFonts w:ascii="Times New Roman" w:hAnsi="Times New Roman"/>
          <w:sz w:val="28"/>
          <w:szCs w:val="28"/>
          <w:lang w:val="uk-UA"/>
        </w:rPr>
        <w:t>а</w:t>
      </w:r>
      <w:r w:rsidR="00A2503B">
        <w:rPr>
          <w:rFonts w:ascii="Times New Roman" w:hAnsi="Times New Roman"/>
          <w:sz w:val="28"/>
          <w:szCs w:val="28"/>
          <w:lang w:val="uk-UA"/>
        </w:rPr>
        <w:t>моврядування</w:t>
      </w:r>
      <w:r w:rsidRPr="002F4F97">
        <w:rPr>
          <w:rFonts w:ascii="Times New Roman" w:hAnsi="Times New Roman"/>
          <w:sz w:val="28"/>
          <w:szCs w:val="28"/>
          <w:lang w:val="uk-UA"/>
        </w:rPr>
        <w:t>.</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32476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прогнозом на 2019 рік обсяг реалізованої промислової продукції без ПДВ та акцизу очікується на рівні 1 810 млн. грн.</w:t>
      </w:r>
    </w:p>
    <w:p w:rsidR="00497C3E" w:rsidRPr="002F4F97" w:rsidRDefault="00497C3E" w:rsidP="0032476B">
      <w:pPr>
        <w:spacing w:after="0" w:line="240" w:lineRule="auto"/>
        <w:ind w:firstLine="709"/>
        <w:jc w:val="both"/>
        <w:rPr>
          <w:rFonts w:ascii="Times New Roman" w:hAnsi="Times New Roman"/>
          <w:sz w:val="28"/>
          <w:szCs w:val="28"/>
          <w:lang w:val="uk-UA"/>
        </w:rPr>
      </w:pPr>
    </w:p>
    <w:p w:rsidR="00497C3E" w:rsidRPr="002F4F97" w:rsidRDefault="00497C3E" w:rsidP="006053D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Споживчий ринок</w:t>
      </w:r>
    </w:p>
    <w:p w:rsidR="00497C3E" w:rsidRDefault="00497C3E" w:rsidP="0032476B">
      <w:pPr>
        <w:spacing w:after="0" w:line="240" w:lineRule="auto"/>
        <w:ind w:firstLine="709"/>
        <w:jc w:val="both"/>
        <w:rPr>
          <w:rFonts w:ascii="Times New Roman" w:hAnsi="Times New Roman"/>
          <w:sz w:val="28"/>
          <w:szCs w:val="28"/>
          <w:lang w:val="uk-UA"/>
        </w:rPr>
      </w:pPr>
    </w:p>
    <w:p w:rsidR="00497C3E" w:rsidRDefault="00497C3E" w:rsidP="0084727A">
      <w:pPr>
        <w:pStyle w:val="23"/>
        <w:shd w:val="clear" w:color="auto" w:fill="auto"/>
        <w:spacing w:line="240" w:lineRule="auto"/>
        <w:ind w:firstLine="709"/>
        <w:rPr>
          <w:sz w:val="28"/>
          <w:szCs w:val="28"/>
        </w:rPr>
      </w:pPr>
      <w:r>
        <w:rPr>
          <w:sz w:val="28"/>
          <w:szCs w:val="28"/>
        </w:rPr>
        <w:t>За своїм призначенням споживчий ринок виконує багатогранні функції життєзабезпечення населення, а саме – задоволення найнеобхідніших потреб людини.</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 xml:space="preserve">Інфраструктура споживчого </w:t>
      </w:r>
      <w:r>
        <w:rPr>
          <w:sz w:val="28"/>
          <w:szCs w:val="28"/>
        </w:rPr>
        <w:t>ринку міста станом на 01.01.2019 налічує 667</w:t>
      </w:r>
      <w:r w:rsidRPr="0036304A">
        <w:rPr>
          <w:sz w:val="28"/>
          <w:szCs w:val="28"/>
        </w:rPr>
        <w:t xml:space="preserve"> об’єкт</w:t>
      </w:r>
      <w:r>
        <w:rPr>
          <w:sz w:val="28"/>
          <w:szCs w:val="28"/>
        </w:rPr>
        <w:t>ів</w:t>
      </w:r>
      <w:r w:rsidRPr="0036304A">
        <w:rPr>
          <w:sz w:val="28"/>
          <w:szCs w:val="28"/>
        </w:rPr>
        <w:t xml:space="preserve"> роздрібної торгів</w:t>
      </w:r>
      <w:r>
        <w:rPr>
          <w:sz w:val="28"/>
          <w:szCs w:val="28"/>
        </w:rPr>
        <w:t>лі, торговельною площею 56 788,7</w:t>
      </w:r>
      <w:r w:rsidRPr="0036304A">
        <w:rPr>
          <w:sz w:val="28"/>
          <w:szCs w:val="28"/>
        </w:rPr>
        <w:t xml:space="preserve"> м</w:t>
      </w:r>
      <w:r w:rsidRPr="0084727A">
        <w:rPr>
          <w:sz w:val="28"/>
          <w:szCs w:val="28"/>
          <w:vertAlign w:val="superscript"/>
        </w:rPr>
        <w:t>2</w:t>
      </w:r>
      <w:r w:rsidRPr="0036304A">
        <w:rPr>
          <w:sz w:val="28"/>
          <w:szCs w:val="28"/>
        </w:rPr>
        <w:t xml:space="preserve">, в тому </w:t>
      </w:r>
      <w:r>
        <w:rPr>
          <w:sz w:val="28"/>
          <w:szCs w:val="28"/>
        </w:rPr>
        <w:t>числі продовольчих магазинів 243</w:t>
      </w:r>
      <w:r w:rsidRPr="0036304A">
        <w:rPr>
          <w:sz w:val="28"/>
          <w:szCs w:val="28"/>
        </w:rPr>
        <w:t xml:space="preserve"> о</w:t>
      </w:r>
      <w:r>
        <w:rPr>
          <w:sz w:val="28"/>
          <w:szCs w:val="28"/>
        </w:rPr>
        <w:t>д., торговельною площею 18 742,3</w:t>
      </w:r>
      <w:r w:rsidRPr="0036304A">
        <w:rPr>
          <w:sz w:val="28"/>
          <w:szCs w:val="28"/>
        </w:rPr>
        <w:t xml:space="preserve"> </w:t>
      </w:r>
      <w:r>
        <w:rPr>
          <w:sz w:val="28"/>
          <w:szCs w:val="28"/>
        </w:rPr>
        <w:t>м</w:t>
      </w:r>
      <w:r w:rsidRPr="0084727A">
        <w:rPr>
          <w:sz w:val="28"/>
          <w:szCs w:val="28"/>
          <w:vertAlign w:val="superscript"/>
        </w:rPr>
        <w:t>2</w:t>
      </w:r>
      <w:r>
        <w:rPr>
          <w:sz w:val="28"/>
          <w:szCs w:val="28"/>
        </w:rPr>
        <w:t>, непродовольчих магазинів 286</w:t>
      </w:r>
      <w:r w:rsidRPr="0036304A">
        <w:rPr>
          <w:sz w:val="28"/>
          <w:szCs w:val="28"/>
        </w:rPr>
        <w:t xml:space="preserve"> од., торговельною</w:t>
      </w:r>
      <w:r>
        <w:rPr>
          <w:sz w:val="28"/>
          <w:szCs w:val="28"/>
        </w:rPr>
        <w:t xml:space="preserve"> площею 38 046,7 м</w:t>
      </w:r>
      <w:r w:rsidRPr="0084727A">
        <w:rPr>
          <w:sz w:val="28"/>
          <w:szCs w:val="28"/>
          <w:vertAlign w:val="superscript"/>
        </w:rPr>
        <w:t>2</w:t>
      </w:r>
      <w:r>
        <w:rPr>
          <w:sz w:val="28"/>
          <w:szCs w:val="28"/>
        </w:rPr>
        <w:t>, 124 об’єкта</w:t>
      </w:r>
      <w:r w:rsidRPr="0036304A">
        <w:rPr>
          <w:sz w:val="28"/>
          <w:szCs w:val="28"/>
        </w:rPr>
        <w:t xml:space="preserve"> дрібно-роздрібної торгів</w:t>
      </w:r>
      <w:r>
        <w:rPr>
          <w:sz w:val="28"/>
          <w:szCs w:val="28"/>
        </w:rPr>
        <w:t>лі, 14 автозаправних станцій, 93 заклади ресторанного господарства, 178</w:t>
      </w:r>
      <w:r w:rsidRPr="0036304A">
        <w:rPr>
          <w:sz w:val="28"/>
          <w:szCs w:val="28"/>
        </w:rPr>
        <w:t xml:space="preserve"> підприємств сфери побутових послуг. У насиченості внутрішнього ринку та у задоволенні потреб населення у продуктах харчування значне місце належить ринкам, яких в місті налічується 7 </w:t>
      </w:r>
      <w:r w:rsidRPr="0084727A">
        <w:rPr>
          <w:sz w:val="28"/>
          <w:szCs w:val="28"/>
        </w:rPr>
        <w:t>та 3 торгівельних майданчика, на</w:t>
      </w:r>
      <w:r>
        <w:rPr>
          <w:sz w:val="28"/>
          <w:szCs w:val="28"/>
        </w:rPr>
        <w:t xml:space="preserve"> 1988 і 200</w:t>
      </w:r>
      <w:r w:rsidRPr="0036304A">
        <w:rPr>
          <w:sz w:val="28"/>
          <w:szCs w:val="28"/>
        </w:rPr>
        <w:t xml:space="preserve"> торгових місця відповідно.</w:t>
      </w:r>
    </w:p>
    <w:p w:rsidR="00497C3E" w:rsidRDefault="00497C3E" w:rsidP="0084727A">
      <w:pPr>
        <w:pStyle w:val="23"/>
        <w:shd w:val="clear" w:color="auto" w:fill="auto"/>
        <w:spacing w:line="240" w:lineRule="auto"/>
        <w:ind w:firstLine="709"/>
        <w:rPr>
          <w:sz w:val="28"/>
          <w:szCs w:val="28"/>
        </w:rPr>
      </w:pPr>
      <w:r>
        <w:rPr>
          <w:sz w:val="28"/>
          <w:szCs w:val="28"/>
        </w:rPr>
        <w:t>Протягом 2018</w:t>
      </w:r>
      <w:r w:rsidRPr="0036304A">
        <w:rPr>
          <w:sz w:val="28"/>
          <w:szCs w:val="28"/>
        </w:rPr>
        <w:t xml:space="preserve"> року за рахунок коштів приватн</w:t>
      </w:r>
      <w:r>
        <w:rPr>
          <w:sz w:val="28"/>
          <w:szCs w:val="28"/>
        </w:rPr>
        <w:t>ого капіталу в місті відкрито 17</w:t>
      </w:r>
      <w:r w:rsidRPr="0084727A">
        <w:rPr>
          <w:sz w:val="28"/>
          <w:szCs w:val="28"/>
        </w:rPr>
        <w:t xml:space="preserve"> </w:t>
      </w:r>
      <w:r>
        <w:rPr>
          <w:sz w:val="28"/>
          <w:szCs w:val="28"/>
        </w:rPr>
        <w:t>об’єктів</w:t>
      </w:r>
      <w:r w:rsidRPr="0036304A">
        <w:rPr>
          <w:sz w:val="28"/>
          <w:szCs w:val="28"/>
        </w:rPr>
        <w:t xml:space="preserve"> тор</w:t>
      </w:r>
      <w:r>
        <w:rPr>
          <w:sz w:val="28"/>
          <w:szCs w:val="28"/>
        </w:rPr>
        <w:t>гівлі, торгівельною площею 2 068,56</w:t>
      </w:r>
      <w:r w:rsidRPr="0036304A">
        <w:rPr>
          <w:sz w:val="28"/>
          <w:szCs w:val="28"/>
        </w:rPr>
        <w:t xml:space="preserve"> м</w:t>
      </w:r>
      <w:r w:rsidRPr="0084727A">
        <w:rPr>
          <w:sz w:val="28"/>
          <w:szCs w:val="28"/>
          <w:vertAlign w:val="superscript"/>
        </w:rPr>
        <w:t>2</w:t>
      </w:r>
      <w:r w:rsidRPr="0036304A">
        <w:rPr>
          <w:sz w:val="28"/>
          <w:szCs w:val="28"/>
        </w:rPr>
        <w:t xml:space="preserve">, </w:t>
      </w:r>
      <w:r>
        <w:rPr>
          <w:sz w:val="28"/>
          <w:szCs w:val="28"/>
        </w:rPr>
        <w:t>2 аптеки,</w:t>
      </w:r>
      <w:r w:rsidRPr="0036304A">
        <w:rPr>
          <w:sz w:val="28"/>
          <w:szCs w:val="28"/>
        </w:rPr>
        <w:t xml:space="preserve"> 6 зак</w:t>
      </w:r>
      <w:r>
        <w:rPr>
          <w:sz w:val="28"/>
          <w:szCs w:val="28"/>
        </w:rPr>
        <w:t>ладів ресторанного господарства на 141 посадкове місце, 5</w:t>
      </w:r>
      <w:r w:rsidRPr="0036304A">
        <w:rPr>
          <w:sz w:val="28"/>
          <w:szCs w:val="28"/>
        </w:rPr>
        <w:t xml:space="preserve"> підприємств побутового обслуговування. </w:t>
      </w:r>
      <w:r>
        <w:rPr>
          <w:sz w:val="28"/>
          <w:szCs w:val="28"/>
        </w:rPr>
        <w:t>Завдяки відкриттю нових об’єктів у сфері торгівлі, ресторанного господарства та побутового обслуговування створено 92 робочих місця.</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 xml:space="preserve">Упродовж року мережа підприємств торгівлі та побуту поповнилась сучасними магазинами, кафе, перукарнями, які відповідають вимогам сьогодення, а саме: </w:t>
      </w:r>
      <w:r>
        <w:rPr>
          <w:sz w:val="28"/>
          <w:szCs w:val="28"/>
        </w:rPr>
        <w:t xml:space="preserve">сімейна пекарня ФОП Тішкіной А.О., кв. Центральний, 9/53; спеціалізований </w:t>
      </w:r>
      <w:r w:rsidRPr="0036304A">
        <w:rPr>
          <w:sz w:val="28"/>
          <w:szCs w:val="28"/>
        </w:rPr>
        <w:t xml:space="preserve">магазин </w:t>
      </w:r>
      <w:r>
        <w:rPr>
          <w:sz w:val="28"/>
          <w:szCs w:val="28"/>
        </w:rPr>
        <w:t>з продажу канцтоварів «Канцлер» ФОП Зорік Д.О., вул. ім. В. Сосюри, 173;</w:t>
      </w:r>
      <w:r w:rsidRPr="0096731C">
        <w:rPr>
          <w:sz w:val="28"/>
          <w:szCs w:val="28"/>
        </w:rPr>
        <w:t xml:space="preserve"> </w:t>
      </w:r>
      <w:r>
        <w:rPr>
          <w:sz w:val="28"/>
          <w:szCs w:val="28"/>
        </w:rPr>
        <w:t>супер-маркет «магазин Сім</w:t>
      </w:r>
      <w:r w:rsidRPr="0096731C">
        <w:rPr>
          <w:sz w:val="28"/>
          <w:szCs w:val="28"/>
        </w:rPr>
        <w:t>’</w:t>
      </w:r>
      <w:r>
        <w:rPr>
          <w:sz w:val="28"/>
          <w:szCs w:val="28"/>
        </w:rPr>
        <w:t>я» ТОВ «ГВЕДЕОН», кв. Східний, 17-А; оптовий склад ФОП Третякова О.О. та ФОП Фоменко І.Г., вул. Першотравнева, 201-а; кафе-бар «Даллас» ФОП Рябухи О.В. та ФОП Єманової О.О., кв. 40 років Перемоги, 3; перукарня «Золоті ножиці» пр. Перемоги, 54-б та інші.</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Забезпеченість торговими площами н</w:t>
      </w:r>
      <w:r>
        <w:rPr>
          <w:sz w:val="28"/>
          <w:szCs w:val="28"/>
        </w:rPr>
        <w:t>а 1,0 тис. мешканців міста складає 510,1м</w:t>
      </w:r>
      <w:r w:rsidRPr="0084727A">
        <w:rPr>
          <w:sz w:val="28"/>
          <w:szCs w:val="28"/>
          <w:vertAlign w:val="superscript"/>
        </w:rPr>
        <w:t>2</w:t>
      </w:r>
      <w:r>
        <w:rPr>
          <w:sz w:val="28"/>
          <w:szCs w:val="28"/>
        </w:rPr>
        <w:t>, або 155,5</w:t>
      </w:r>
      <w:r w:rsidRPr="0036304A">
        <w:rPr>
          <w:sz w:val="28"/>
          <w:szCs w:val="28"/>
        </w:rPr>
        <w:t>% від нормативу (норматив для контрольованої частини Луганської області у середньому складає 328,0 кв. м.), у</w:t>
      </w:r>
      <w:r>
        <w:rPr>
          <w:sz w:val="28"/>
          <w:szCs w:val="28"/>
        </w:rPr>
        <w:t xml:space="preserve"> ресторанному господарстві 22,7</w:t>
      </w:r>
      <w:r w:rsidRPr="0036304A">
        <w:rPr>
          <w:sz w:val="28"/>
          <w:szCs w:val="28"/>
        </w:rPr>
        <w:t xml:space="preserve"> посадкових місця у загальнодоступній мережі </w:t>
      </w:r>
      <w:r>
        <w:rPr>
          <w:sz w:val="28"/>
          <w:szCs w:val="28"/>
        </w:rPr>
        <w:t>на 1,0 тис. мешканців, або 58,6</w:t>
      </w:r>
      <w:r w:rsidRPr="0036304A">
        <w:rPr>
          <w:sz w:val="28"/>
          <w:szCs w:val="28"/>
        </w:rPr>
        <w:t>% від нормативу (норматив – 36,0 п. м.)</w:t>
      </w:r>
    </w:p>
    <w:p w:rsidR="00497C3E" w:rsidRPr="0036304A" w:rsidRDefault="00497C3E" w:rsidP="0084727A">
      <w:pPr>
        <w:pStyle w:val="23"/>
        <w:shd w:val="clear" w:color="auto" w:fill="auto"/>
        <w:spacing w:line="240" w:lineRule="auto"/>
        <w:ind w:firstLine="709"/>
        <w:rPr>
          <w:sz w:val="28"/>
          <w:szCs w:val="28"/>
        </w:rPr>
      </w:pPr>
      <w:r>
        <w:rPr>
          <w:sz w:val="28"/>
          <w:szCs w:val="28"/>
        </w:rPr>
        <w:t>За підсумками 9 місяців 2018</w:t>
      </w:r>
      <w:r w:rsidRPr="0036304A">
        <w:rPr>
          <w:sz w:val="28"/>
          <w:szCs w:val="28"/>
        </w:rPr>
        <w:t xml:space="preserve"> року роздрібний товарооборот підприємств, основним видом економічної діяльності яких є роздрібна торгівля по місту Лисичанську скл</w:t>
      </w:r>
      <w:r>
        <w:rPr>
          <w:sz w:val="28"/>
          <w:szCs w:val="28"/>
        </w:rPr>
        <w:t>ав 67 0504,1</w:t>
      </w:r>
      <w:r w:rsidRPr="0036304A">
        <w:rPr>
          <w:sz w:val="28"/>
          <w:szCs w:val="28"/>
        </w:rPr>
        <w:t xml:space="preserve"> ти</w:t>
      </w:r>
      <w:r>
        <w:rPr>
          <w:sz w:val="28"/>
          <w:szCs w:val="28"/>
        </w:rPr>
        <w:t xml:space="preserve">с. грн., індекс фізичного </w:t>
      </w:r>
      <w:r>
        <w:rPr>
          <w:sz w:val="28"/>
          <w:szCs w:val="28"/>
        </w:rPr>
        <w:lastRenderedPageBreak/>
        <w:t>обсягу роздрібного товарообороту підприємств роздрібної торгівлі у (порівнянних цінах) у січні – вересні 2018 до січня – вересня 2017 – 120,3</w:t>
      </w:r>
      <w:r w:rsidRPr="0036304A">
        <w:rPr>
          <w:sz w:val="28"/>
          <w:szCs w:val="28"/>
        </w:rPr>
        <w:t>%. Очікуваний показник обсягу обороту роздрібної торгівлі (до якого включено роздрібний товарооборот підприємств роздрібної торгівлі, розрахункові дані щодо обсягів продажу товарів на ринках та фізичним</w:t>
      </w:r>
      <w:r>
        <w:rPr>
          <w:sz w:val="28"/>
          <w:szCs w:val="28"/>
        </w:rPr>
        <w:t>и особами підприємцями) на 2018 рік становитиме 1 956</w:t>
      </w:r>
      <w:r w:rsidRPr="0036304A">
        <w:rPr>
          <w:sz w:val="28"/>
          <w:szCs w:val="28"/>
        </w:rPr>
        <w:t xml:space="preserve">,00 млн. грн., темп </w:t>
      </w:r>
      <w:r>
        <w:rPr>
          <w:sz w:val="28"/>
          <w:szCs w:val="28"/>
        </w:rPr>
        <w:t>росту у порівняльних цінах – 108,0%. Прогноз 2019</w:t>
      </w:r>
      <w:r w:rsidRPr="0036304A">
        <w:rPr>
          <w:sz w:val="28"/>
          <w:szCs w:val="28"/>
        </w:rPr>
        <w:t xml:space="preserve"> року – збільшення обсягів роздрібного товаро</w:t>
      </w:r>
      <w:r>
        <w:rPr>
          <w:sz w:val="28"/>
          <w:szCs w:val="28"/>
        </w:rPr>
        <w:t>обігу у фактичних цінах на 109,0</w:t>
      </w:r>
      <w:r w:rsidR="00A2503B">
        <w:rPr>
          <w:sz w:val="28"/>
          <w:szCs w:val="28"/>
        </w:rPr>
        <w:t>%</w:t>
      </w:r>
      <w:r w:rsidRPr="0036304A">
        <w:rPr>
          <w:sz w:val="28"/>
          <w:szCs w:val="28"/>
        </w:rPr>
        <w:t>. Прогнозний обсяг реалізованих послуг у 201</w:t>
      </w:r>
      <w:r>
        <w:rPr>
          <w:sz w:val="28"/>
          <w:szCs w:val="28"/>
        </w:rPr>
        <w:t>9</w:t>
      </w:r>
      <w:r w:rsidRPr="0036304A">
        <w:rPr>
          <w:sz w:val="28"/>
          <w:szCs w:val="28"/>
        </w:rPr>
        <w:t xml:space="preserve"> році стан</w:t>
      </w:r>
      <w:r>
        <w:rPr>
          <w:sz w:val="28"/>
          <w:szCs w:val="28"/>
        </w:rPr>
        <w:t>овитиме 229,6</w:t>
      </w:r>
      <w:r w:rsidRPr="0036304A">
        <w:rPr>
          <w:sz w:val="28"/>
          <w:szCs w:val="28"/>
        </w:rPr>
        <w:t xml:space="preserve"> млн. грн., темп</w:t>
      </w:r>
      <w:r>
        <w:rPr>
          <w:sz w:val="28"/>
          <w:szCs w:val="28"/>
        </w:rPr>
        <w:t xml:space="preserve"> росту у фактичних цінах – 110,0</w:t>
      </w:r>
      <w:r w:rsidRPr="0036304A">
        <w:rPr>
          <w:sz w:val="28"/>
          <w:szCs w:val="28"/>
        </w:rPr>
        <w:t>%.</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Першочерговим завданням щодо подальшого розвитку споживчого ринку</w:t>
      </w:r>
      <w:r>
        <w:rPr>
          <w:sz w:val="28"/>
          <w:szCs w:val="28"/>
        </w:rPr>
        <w:t xml:space="preserve">, </w:t>
      </w:r>
      <w:r w:rsidRPr="0036304A">
        <w:rPr>
          <w:sz w:val="28"/>
          <w:szCs w:val="28"/>
        </w:rPr>
        <w:t xml:space="preserve">недопущення </w:t>
      </w:r>
      <w:r>
        <w:rPr>
          <w:sz w:val="28"/>
          <w:szCs w:val="28"/>
        </w:rPr>
        <w:t>дестабілізації цінової ситуації залишається підтримка безпосередніх товаровиробників.</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 xml:space="preserve">Важливу роль у </w:t>
      </w:r>
      <w:r>
        <w:rPr>
          <w:sz w:val="28"/>
          <w:szCs w:val="28"/>
        </w:rPr>
        <w:t>розвитку споживчого ринку відіграють магазини, які представляють продукцію місцевого та вітчизняного товаровиробника.</w:t>
      </w:r>
      <w:r w:rsidRPr="0036304A">
        <w:rPr>
          <w:sz w:val="28"/>
          <w:szCs w:val="28"/>
        </w:rPr>
        <w:t xml:space="preserve"> У наслідок прямих поставок продукції від безпосередніх товаровиробників ці підприємства торгівлі встановлюють відносно низькі ціни на товари, що реалізуються, забезпечують достатньо широкий асортимент товарів при їх високій якості. </w:t>
      </w:r>
      <w:r>
        <w:rPr>
          <w:sz w:val="28"/>
          <w:szCs w:val="28"/>
        </w:rPr>
        <w:t>На сьогодні у місті працює 15 спеціалізованих магазинів з реалізації продуктів харчування, зокрема м’яса та м’ясопродуктів, ковбасних виробів, хлібобулочних виробів, молочної продукції, кондитерських виробів, (магазини «М’ясний м’ясокомбінат, «Салтівський м’ясокомбінат», «Свіжина», «Ваніль», «Женев</w:t>
      </w:r>
      <w:r w:rsidRPr="00AB6F64">
        <w:rPr>
          <w:sz w:val="28"/>
          <w:szCs w:val="28"/>
        </w:rPr>
        <w:t>’</w:t>
      </w:r>
      <w:r>
        <w:rPr>
          <w:sz w:val="28"/>
          <w:szCs w:val="28"/>
        </w:rPr>
        <w:t>єва», «Кураж» та інші. У місті діють 5 оптових складів-магазинів</w:t>
      </w:r>
      <w:r w:rsidRPr="0036304A">
        <w:rPr>
          <w:sz w:val="28"/>
          <w:szCs w:val="28"/>
        </w:rPr>
        <w:t xml:space="preserve"> з продажу продуктів харчування. Організація роботи даних об’єктів позитивно впливає на формування цін на продукти харчування.</w:t>
      </w:r>
    </w:p>
    <w:p w:rsidR="00497C3E" w:rsidRDefault="00497C3E" w:rsidP="0084727A">
      <w:pPr>
        <w:pStyle w:val="23"/>
        <w:shd w:val="clear" w:color="auto" w:fill="auto"/>
        <w:spacing w:line="240" w:lineRule="auto"/>
        <w:ind w:firstLine="709"/>
        <w:rPr>
          <w:sz w:val="28"/>
          <w:szCs w:val="28"/>
        </w:rPr>
      </w:pPr>
      <w:r>
        <w:rPr>
          <w:sz w:val="28"/>
          <w:szCs w:val="28"/>
        </w:rPr>
        <w:t>Для підтримки місцевого товаровиробника, з метою пропаганди їхньої продукції та збільшення її продажу через торговельну мережу міста протягом року було організовано і проведено тематичні ярмарки – розпродаж пасхальних кулічив, новорічних ялинок, святкова торгівля, тощо. Місцеві товаровиробники постійно працюють над розширенням асортименту продукції, підвищенням якості продукції. З метою обміну досвідом приймають участь у обласних та всеукраїнських конкурсах та виставках. Продукція кондитерського цеху «Кураж» у цьому році була представлена на виставці «Схід-Експо 2018».</w:t>
      </w:r>
    </w:p>
    <w:p w:rsidR="00497C3E" w:rsidRDefault="00497C3E" w:rsidP="0084727A">
      <w:pPr>
        <w:pStyle w:val="23"/>
        <w:shd w:val="clear" w:color="auto" w:fill="auto"/>
        <w:spacing w:line="240" w:lineRule="auto"/>
        <w:ind w:firstLine="709"/>
        <w:rPr>
          <w:sz w:val="28"/>
          <w:szCs w:val="28"/>
        </w:rPr>
      </w:pPr>
      <w:r>
        <w:rPr>
          <w:sz w:val="28"/>
          <w:szCs w:val="28"/>
        </w:rPr>
        <w:t xml:space="preserve">З метою задоволення попиту населення на окремі товари, який різко зростає у певні періоди року відпрацьована схема сезонної торгівлі овочами, фруктами та баштанними культурами. Як, альтернатива, виконавчим комітетом щорічно проводиться відповідна робота щодо виділення додаткових торговельних місць з метою реалізації у період масового надходження овочів, фруктів та баштанних культур для місцевих товаровиробників, сільськогосподарських виробників, власників фермерських господарств густонаселених та віддалених районах міста. Рішенням виконавчого комітету від 15.05.2018 № 211 «Про організацію виїзної торгівлі овочами, фруктами та баштанними культурами на території м. Лисичанська», було визначено 12 додаткових місць для торгівлі </w:t>
      </w:r>
      <w:r>
        <w:rPr>
          <w:sz w:val="28"/>
          <w:szCs w:val="28"/>
        </w:rPr>
        <w:lastRenderedPageBreak/>
        <w:t>плодоовочевою продукцією на період з 01.06.2018 до 30.11.2018 на виконання якого за оперативними даними населенню міста було реалізовано 323,63 т картоплі, 189,58 т овочів, 33,98 т баштанних культур за цінами нижче ринкових.</w:t>
      </w:r>
      <w:r w:rsidRPr="0036304A">
        <w:rPr>
          <w:sz w:val="28"/>
          <w:szCs w:val="28"/>
        </w:rPr>
        <w:t xml:space="preserve"> </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Однією з проблем у сфері торговельної діяльності є несанкціонована або «стихійна» торгівля. Варто зазначити, що питання недопущення виникнення несанкціонованої торгівлі і ліквідації існуючих місць такої торгівлі знаходяться на постійному контролі. В місті організовано роботу мобільної групи з проведення заходів щодо виявлення і ліквідації несанкціонованої торгівлі на території міста, до складу якої входять представники виконавчих органів міської ради, контролюючих органів, правоохоронних органів.</w:t>
      </w:r>
    </w:p>
    <w:p w:rsidR="00497C3E" w:rsidRDefault="00497C3E" w:rsidP="0084727A">
      <w:pPr>
        <w:pStyle w:val="23"/>
        <w:shd w:val="clear" w:color="auto" w:fill="auto"/>
        <w:spacing w:line="240" w:lineRule="auto"/>
        <w:ind w:firstLine="709"/>
        <w:rPr>
          <w:sz w:val="28"/>
          <w:szCs w:val="28"/>
        </w:rPr>
      </w:pPr>
      <w:r>
        <w:rPr>
          <w:sz w:val="28"/>
          <w:szCs w:val="28"/>
        </w:rPr>
        <w:t>Протягом 2018</w:t>
      </w:r>
      <w:r w:rsidRPr="0036304A">
        <w:rPr>
          <w:sz w:val="28"/>
          <w:szCs w:val="28"/>
        </w:rPr>
        <w:t xml:space="preserve"> року спеціалістами відділу розвитку споживчого ринку управління економіки разом з правоохоронними та контролю</w:t>
      </w:r>
      <w:r>
        <w:rPr>
          <w:sz w:val="28"/>
          <w:szCs w:val="28"/>
        </w:rPr>
        <w:t>ючими органами було проведено 20</w:t>
      </w:r>
      <w:r w:rsidRPr="0036304A">
        <w:rPr>
          <w:sz w:val="28"/>
          <w:szCs w:val="28"/>
        </w:rPr>
        <w:t xml:space="preserve"> рейдів щодо запобігання виникненню та ліквідації торгівлі в невстановлених місцях, під час яких спеціалістами відділу розвитку споживчого ринку управління еко</w:t>
      </w:r>
      <w:r>
        <w:rPr>
          <w:sz w:val="28"/>
          <w:szCs w:val="28"/>
        </w:rPr>
        <w:t>номіки на порушників складено 39</w:t>
      </w:r>
      <w:r w:rsidRPr="0036304A">
        <w:rPr>
          <w:sz w:val="28"/>
          <w:szCs w:val="28"/>
        </w:rPr>
        <w:t xml:space="preserve"> протоколів про адміністративні правопорушення за ст. 152 КУпАП, су</w:t>
      </w:r>
      <w:r>
        <w:rPr>
          <w:sz w:val="28"/>
          <w:szCs w:val="28"/>
        </w:rPr>
        <w:t>ма штрафних санкцій склала 26,18</w:t>
      </w:r>
      <w:r w:rsidRPr="0036304A">
        <w:rPr>
          <w:sz w:val="28"/>
          <w:szCs w:val="28"/>
        </w:rPr>
        <w:t xml:space="preserve"> тис. грн.</w:t>
      </w:r>
      <w:r>
        <w:rPr>
          <w:sz w:val="28"/>
          <w:szCs w:val="28"/>
        </w:rPr>
        <w:t xml:space="preserve"> Співробітниками поліції, в рамках мобільної групи, складено 8 протоколів про адміністративні правопорушення за ст. 152 КУпАП та 2 протоколи за ст. 160 КУпАП.</w:t>
      </w:r>
    </w:p>
    <w:p w:rsidR="00497C3E" w:rsidRDefault="00497C3E" w:rsidP="0084727A">
      <w:pPr>
        <w:pStyle w:val="23"/>
        <w:shd w:val="clear" w:color="auto" w:fill="auto"/>
        <w:spacing w:line="240" w:lineRule="auto"/>
        <w:ind w:firstLine="709"/>
        <w:rPr>
          <w:sz w:val="28"/>
          <w:szCs w:val="28"/>
        </w:rPr>
      </w:pPr>
      <w:r>
        <w:rPr>
          <w:sz w:val="28"/>
          <w:szCs w:val="28"/>
        </w:rPr>
        <w:t>Однім із пріоритетних напрямків роботи у сфері розвитку споживчого ринку є розгляд звернень громадян, надання консультацій з питань захисту прав споживачів, забезпечення в межах повноважень контролю за дотриманням суб’єктами господарювання вимог законодавства про захист прав споживачів.</w:t>
      </w:r>
    </w:p>
    <w:p w:rsidR="00497C3E" w:rsidRDefault="00497C3E" w:rsidP="0084727A">
      <w:pPr>
        <w:pStyle w:val="23"/>
        <w:shd w:val="clear" w:color="auto" w:fill="auto"/>
        <w:spacing w:line="240" w:lineRule="auto"/>
        <w:ind w:firstLine="709"/>
        <w:rPr>
          <w:sz w:val="28"/>
          <w:szCs w:val="28"/>
        </w:rPr>
      </w:pPr>
      <w:r>
        <w:rPr>
          <w:sz w:val="28"/>
          <w:szCs w:val="28"/>
        </w:rPr>
        <w:t>Протягом 2018 року до відділу розвитку споживчого ринку управління економіки Лисичанської міської ради надійшло: 163 звернення громадян</w:t>
      </w:r>
      <w:r w:rsidRPr="0036304A">
        <w:rPr>
          <w:sz w:val="28"/>
          <w:szCs w:val="28"/>
        </w:rPr>
        <w:t xml:space="preserve"> з </w:t>
      </w:r>
      <w:r>
        <w:rPr>
          <w:sz w:val="28"/>
          <w:szCs w:val="28"/>
        </w:rPr>
        <w:t>питань захисту прав споживачів, з них 59 письмових. За результатами розгляду письмових звернень, понад 67% порушених у зверненнях питань, вирішено на користь споживача. Повернуто коштів за неякісні товари та надані послуги на суму – 27 175,8 грн., здійснено обмін товару на якісний на суму – 16 219,0 грн., виконано ремонт на суму – 16 100,0 грн. Крім того, за усними зверненнями було надано 104 консультації мешканцям міста та повернуто грошових коштів за неякісні товари у сумі – 3 945,5 грн.</w:t>
      </w:r>
      <w:r w:rsidRPr="0036304A">
        <w:rPr>
          <w:sz w:val="28"/>
          <w:szCs w:val="28"/>
        </w:rPr>
        <w:t xml:space="preserve"> </w:t>
      </w:r>
    </w:p>
    <w:p w:rsidR="00497C3E" w:rsidRDefault="00497C3E" w:rsidP="0084727A">
      <w:pPr>
        <w:pStyle w:val="23"/>
        <w:shd w:val="clear" w:color="auto" w:fill="auto"/>
        <w:spacing w:line="240" w:lineRule="auto"/>
        <w:ind w:firstLine="709"/>
        <w:rPr>
          <w:sz w:val="28"/>
          <w:szCs w:val="28"/>
        </w:rPr>
      </w:pPr>
      <w:r>
        <w:rPr>
          <w:sz w:val="28"/>
          <w:szCs w:val="28"/>
        </w:rPr>
        <w:t xml:space="preserve">З метою сприяння правовій освіті населення та формування навиків компетентної поведінки у взаємовідносинах із суб’єктами господарювання при придбання неякісних товарів та отримання послуг відділом розвитку споживчого ринку управління економіки проводиться просвітницька робота серед споживачів шляхом висвітлювання на постійно діючій сторінці «захист прав споживачів» офіційного сайту Лисичанської міської ради питань про стан захисту прав споживачів міста, де розміщено основні законодавчі акти у сфері захисту прав споживачів, рекомендації, зразки претензій, з якими мешканці нашого міста мають можливість ознайомитися та скористатися у будь-яких конфліктних ситуаціях, що виникли між ними, як споживачами </w:t>
      </w:r>
      <w:r>
        <w:rPr>
          <w:sz w:val="28"/>
          <w:szCs w:val="28"/>
        </w:rPr>
        <w:lastRenderedPageBreak/>
        <w:t>товарів (робіт, послуг) та суб’єктами господарювання.</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 xml:space="preserve">Аналіз стану споживчого ринку, за </w:t>
      </w:r>
      <w:r>
        <w:rPr>
          <w:sz w:val="28"/>
          <w:szCs w:val="28"/>
        </w:rPr>
        <w:t>даними моніторингу проведеного в</w:t>
      </w:r>
      <w:r w:rsidRPr="0036304A">
        <w:rPr>
          <w:sz w:val="28"/>
          <w:szCs w:val="28"/>
        </w:rPr>
        <w:t xml:space="preserve"> торговельній мережі та на ринках міста, показує його стійкий стан з відповідним рівнем насиченості соціально-значимими продуктами харчування і послугами, досить розвиненою мережею підприємств торгівлі.</w:t>
      </w:r>
    </w:p>
    <w:p w:rsidR="00497C3E" w:rsidRPr="0036304A" w:rsidRDefault="00497C3E" w:rsidP="0084727A">
      <w:pPr>
        <w:pStyle w:val="23"/>
        <w:shd w:val="clear" w:color="auto" w:fill="auto"/>
        <w:spacing w:line="240" w:lineRule="auto"/>
        <w:ind w:firstLine="709"/>
        <w:rPr>
          <w:sz w:val="28"/>
          <w:szCs w:val="28"/>
        </w:rPr>
      </w:pPr>
      <w:r w:rsidRPr="0036304A">
        <w:rPr>
          <w:sz w:val="28"/>
          <w:szCs w:val="28"/>
        </w:rPr>
        <w:t>Разом з тим залишається ряд проблемних питань на вирішення яких буде спря</w:t>
      </w:r>
      <w:r>
        <w:rPr>
          <w:sz w:val="28"/>
          <w:szCs w:val="28"/>
        </w:rPr>
        <w:t>мована діяльність відділу у 2019</w:t>
      </w:r>
      <w:r w:rsidRPr="0036304A">
        <w:rPr>
          <w:sz w:val="28"/>
          <w:szCs w:val="28"/>
        </w:rPr>
        <w:t xml:space="preserve"> році.</w:t>
      </w:r>
    </w:p>
    <w:p w:rsidR="00497C3E" w:rsidRPr="0084727A" w:rsidRDefault="00497C3E" w:rsidP="0084727A">
      <w:pPr>
        <w:pStyle w:val="23"/>
        <w:shd w:val="clear" w:color="auto" w:fill="auto"/>
        <w:spacing w:line="240" w:lineRule="auto"/>
        <w:ind w:firstLine="709"/>
        <w:rPr>
          <w:sz w:val="28"/>
          <w:szCs w:val="28"/>
        </w:rPr>
      </w:pPr>
    </w:p>
    <w:p w:rsidR="00497C3E" w:rsidRDefault="00497C3E" w:rsidP="0084727A">
      <w:pPr>
        <w:spacing w:after="0" w:line="240" w:lineRule="auto"/>
        <w:ind w:firstLine="709"/>
        <w:jc w:val="both"/>
        <w:outlineLvl w:val="0"/>
        <w:rPr>
          <w:rFonts w:ascii="Times New Roman" w:hAnsi="Times New Roman"/>
          <w:b/>
          <w:i/>
          <w:sz w:val="28"/>
          <w:szCs w:val="28"/>
          <w:lang w:val="uk-UA"/>
        </w:rPr>
      </w:pPr>
      <w:r>
        <w:rPr>
          <w:rFonts w:ascii="Times New Roman" w:hAnsi="Times New Roman"/>
          <w:b/>
          <w:i/>
          <w:sz w:val="28"/>
          <w:szCs w:val="28"/>
          <w:lang w:val="uk-UA"/>
        </w:rPr>
        <w:t>Основні проблеми:</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зменшення платоспроможності населення через падіння реальних доходів та зростання цін на споживчому ринку;</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надходження на споживчий ринок фальсифікованих товарів, небезпечної продукції та продукції неналежної якості;</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низький рівень прогнозованості виникнення інфляційних процесів на ринку основних груп продовольчих товарів;</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 xml:space="preserve">наявність несанкціонованої торгівлі, тінізація доходів від незаконної діяльності, нелегалізована наймана праця в сфері торгівлі та послуг; </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відсутність достатньої кількості підприємств виробників, оптових підприємств, які забезпечували б господарські відносини між виробниками та споживачами продукції, збільшення витрат на логістику;</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незначний рівень обізнаності населення щодо захисту прав споживачів.</w:t>
      </w:r>
    </w:p>
    <w:p w:rsidR="00497C3E" w:rsidRDefault="00497C3E" w:rsidP="0084727A">
      <w:pPr>
        <w:spacing w:after="0" w:line="240" w:lineRule="auto"/>
        <w:ind w:firstLine="709"/>
        <w:jc w:val="both"/>
        <w:outlineLvl w:val="0"/>
        <w:rPr>
          <w:rFonts w:ascii="Times New Roman" w:hAnsi="Times New Roman"/>
          <w:b/>
          <w:i/>
          <w:sz w:val="28"/>
          <w:szCs w:val="28"/>
          <w:lang w:val="uk-UA"/>
        </w:rPr>
      </w:pPr>
      <w:r>
        <w:rPr>
          <w:rFonts w:ascii="Times New Roman" w:hAnsi="Times New Roman"/>
          <w:b/>
          <w:i/>
          <w:sz w:val="28"/>
          <w:szCs w:val="28"/>
          <w:lang w:val="uk-UA"/>
        </w:rPr>
        <w:t>Основні пріоритети:</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сприяння розвитку інфраструктури споживчого ринку, збільшенню мережі підприємств підвищеної комфортності із впровадженням сучасних форм торговельного обслуговування;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запобігання надходженню на споживчий ринок міста неякісних та небезпечних для життя і здоров’я людей товарів;</w:t>
      </w:r>
    </w:p>
    <w:p w:rsidR="00497C3E" w:rsidRPr="004A7BA6"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підвищення рівня захисту прав населення на споживання якісних та безпечних для життя і здоров’я товарів та послуг;</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підтримка місцевих товаровиробників у розвитку та насиченню споживчого ринку міста конкурентоспроможними, якісними товарами власного виробництва, сприяти розширенню їх торговельної мережі;</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посилення взаємодії з контролюючими та правоохоронними органами з ліквідація місць несанкціонованої торгівлі.</w:t>
      </w:r>
    </w:p>
    <w:p w:rsidR="00497C3E" w:rsidRDefault="00497C3E" w:rsidP="0084727A">
      <w:pPr>
        <w:spacing w:after="0" w:line="240" w:lineRule="auto"/>
        <w:ind w:firstLine="709"/>
        <w:jc w:val="both"/>
        <w:outlineLvl w:val="0"/>
        <w:rPr>
          <w:rFonts w:ascii="Times New Roman" w:hAnsi="Times New Roman"/>
          <w:b/>
          <w:i/>
          <w:sz w:val="28"/>
          <w:szCs w:val="28"/>
          <w:lang w:val="uk-UA"/>
        </w:rPr>
      </w:pPr>
      <w:r>
        <w:rPr>
          <w:rFonts w:ascii="Times New Roman" w:hAnsi="Times New Roman"/>
          <w:b/>
          <w:i/>
          <w:sz w:val="28"/>
          <w:szCs w:val="28"/>
          <w:lang w:val="uk-UA"/>
        </w:rPr>
        <w:t>Основні завдання: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насичення споживчого ринку якісними товарами та послугами, забезпечення стабільних умов його розвитку;</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вжиття відповідних заходів щодо підвищення якості торговельного та побутового обслуговування населення, здійснення в межах повноважень контролю за дотриманням законодавства щодо захисту прав споживачів, правил торговельного та побутового обслуговування населення;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lastRenderedPageBreak/>
        <w:t>здійснення заходів, спрямованих на захист прав споживачів, підвищення інформованості та правової обізнаності споживачів, поглиблення правових знань суб’єктів господарювання;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створення сприятливих умов для безперешкодного доступу безпосередніх товаровиробників на споживчий ринок міста, організація виїзної торгівлі сільськогосподарською продукцією;</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посилення протидії несанкціонованій торгівлі.</w:t>
      </w:r>
    </w:p>
    <w:p w:rsidR="00497C3E" w:rsidRDefault="00497C3E" w:rsidP="0084727A">
      <w:pPr>
        <w:spacing w:after="0" w:line="240" w:lineRule="auto"/>
        <w:ind w:firstLine="709"/>
        <w:jc w:val="both"/>
        <w:outlineLvl w:val="0"/>
        <w:rPr>
          <w:rFonts w:ascii="Times New Roman" w:hAnsi="Times New Roman"/>
          <w:b/>
          <w:i/>
          <w:sz w:val="28"/>
          <w:szCs w:val="28"/>
          <w:lang w:val="uk-UA"/>
        </w:rPr>
      </w:pPr>
      <w:r>
        <w:rPr>
          <w:rFonts w:ascii="Times New Roman" w:hAnsi="Times New Roman"/>
          <w:b/>
          <w:i/>
          <w:sz w:val="28"/>
          <w:szCs w:val="28"/>
          <w:lang w:val="uk-UA"/>
        </w:rPr>
        <w:t>Очікувані результати:</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насиченість споживчого ринку якісними товарами та послугами;</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збільшення обсягу роздрібного товарообороту на 9,2% (у фактичних цінах);</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збільшення обсягу реалізованих послуг на 10,0% (у фактичних цінах);</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розширення мережі об’єктів торгівлі, ресторанного господарства та побутового обслуговування;</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залучення у місто додаткових обсягів сільськогосподарської продукції від безпосередніх товаровиробників;</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створення нових робочих місць за рахунок розвитку мережі сучасних об’єктів торгівлі та сфери послуг;</w:t>
      </w:r>
    </w:p>
    <w:p w:rsidR="00497C3E" w:rsidRDefault="00497C3E" w:rsidP="0084727A">
      <w:pPr>
        <w:numPr>
          <w:ilvl w:val="0"/>
          <w:numId w:val="4"/>
        </w:numPr>
        <w:tabs>
          <w:tab w:val="left" w:pos="1276"/>
        </w:tabs>
        <w:spacing w:after="0" w:line="240" w:lineRule="auto"/>
        <w:ind w:left="0" w:firstLine="709"/>
        <w:jc w:val="both"/>
        <w:rPr>
          <w:rFonts w:ascii="Times New Roman" w:hAnsi="Times New Roman"/>
          <w:sz w:val="28"/>
          <w:szCs w:val="28"/>
          <w:lang w:val="uk-UA"/>
        </w:rPr>
      </w:pPr>
      <w:r>
        <w:rPr>
          <w:rFonts w:ascii="Times New Roman" w:hAnsi="Times New Roman"/>
          <w:sz w:val="28"/>
          <w:szCs w:val="28"/>
          <w:lang w:val="uk-UA"/>
        </w:rPr>
        <w:t>підвищення рівня правової обізнаності та інформованості населення щодо споживчих прав та механізмів їх захисту.</w:t>
      </w:r>
    </w:p>
    <w:p w:rsidR="00497C3E" w:rsidRPr="002F4F97" w:rsidRDefault="00497C3E" w:rsidP="00932E2B">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461671">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Транспорт</w:t>
      </w:r>
    </w:p>
    <w:p w:rsidR="00497C3E" w:rsidRPr="002F4F97" w:rsidRDefault="00497C3E" w:rsidP="00907167">
      <w:pPr>
        <w:spacing w:after="0" w:line="240" w:lineRule="auto"/>
        <w:ind w:firstLine="709"/>
        <w:jc w:val="both"/>
        <w:rPr>
          <w:rFonts w:ascii="Times New Roman" w:hAnsi="Times New Roman"/>
          <w:sz w:val="28"/>
          <w:szCs w:val="28"/>
          <w:lang w:val="uk-UA" w:eastAsia="ru-RU"/>
        </w:rPr>
      </w:pPr>
    </w:p>
    <w:p w:rsidR="00497C3E" w:rsidRPr="002F4F97" w:rsidRDefault="00497C3E" w:rsidP="00907167">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На теперішній час у місті налічується 17 маршрутів загального користування.</w:t>
      </w:r>
    </w:p>
    <w:p w:rsidR="00497C3E" w:rsidRPr="002F4F97" w:rsidRDefault="00497C3E" w:rsidP="00907167">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Міський електротранспорт налічує 10 одиниць тролейбусів, з яких здатні надавати послуги лише 5. Середній термін використання наявних тролейбусів становить 17 років, при тому що норма експлуатації їх не має перевищувати 10 років. Наявна контактна мережа разом з опорами експлуатується вже більш ніж 30 років без капітальних ремонтів, коли за нормативом капітальний ремонт має проводитись кожні 15 років.</w:t>
      </w:r>
    </w:p>
    <w:p w:rsidR="00497C3E" w:rsidRPr="002F4F97" w:rsidRDefault="00497C3E" w:rsidP="002B089D">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Більша частина міських перевезень сьогодні здійснюється пасажирськими мікроавтобусами (маршрутними таксі), які використовують транспортні засоби малої місткості.</w:t>
      </w:r>
    </w:p>
    <w:p w:rsidR="00497C3E" w:rsidRPr="002F4F97" w:rsidRDefault="00497C3E" w:rsidP="005D2F8B">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 xml:space="preserve">Особливості ландшафту території, на якій розташовано місто, обумовили значну лінійну протяжність заселеної території (біля 25 км з північного заходу на південний схід і лише 3 км з південного заходу на північний схід). Протяжність залізничних колій, які проходять через місто (без урахування під’їзних до промислових підприємств) складає близько 20 км. З цієї причини, свого часу, в місті було побудовано 4 залізничні станції: Насвітевич, Лисичанськ, Переїзна та Вовчоярська. Кожна із зазначених станцій розташована поблизу одного з густонаселених районів нашого міста. Послугами станції Насвітевич найбільш зручно користуватись мешканцям </w:t>
      </w:r>
      <w:r w:rsidRPr="002F4F97">
        <w:rPr>
          <w:rFonts w:ascii="Times New Roman" w:hAnsi="Times New Roman"/>
          <w:sz w:val="28"/>
          <w:szCs w:val="28"/>
          <w:lang w:val="uk-UA" w:eastAsia="ru-RU"/>
        </w:rPr>
        <w:lastRenderedPageBreak/>
        <w:t>мікрорайонів, розташованих на північному сході міста поблизу Лисичанського склозаводу «Пролетарій», станції Лисичанськ – мешканцям центральної частини міста, станції Переїзна – мешканцям мікрорайонів, розташованих поблизу Лисичанського содового заводу, і станції Вовчоярська – мешканцям південно-східної частини міста.</w:t>
      </w:r>
    </w:p>
    <w:p w:rsidR="00497C3E" w:rsidRPr="002F4F97" w:rsidRDefault="00497C3E" w:rsidP="005D2F8B">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Станція Лисичанськ тепер є кінцевою зупинкою, станції, що розташовані далі на південний схід використовуються лише частково. Станція Переїзна використовується лише під час організації приміських перевезень пасажирів, станція Вовчоярська зовсім припинила надання послуг, пов’язаних із переміщенням вантажів у тому числі. Організоване таким чином залізничне сполучення значно ускладнює доступ до послуг залізниці для всіх перелічених груп населення, а для багатьох виробничих підприємств нашого міста може означати остаточне банкрутство із подальшими негативними наслідками для ринку праці у нашому регіоні, зменшенню обсягу надходжень до бюджетів усіх рівнів і погіршенню соціального стану в регіоні.</w:t>
      </w:r>
    </w:p>
    <w:p w:rsidR="00497C3E" w:rsidRPr="002F4F97" w:rsidRDefault="00497C3E" w:rsidP="005D2F8B">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Зрозуміло, що ці обставини значно ускладнюють роботу внутрішньої міської транспортної інфраструктури, створюють надлишкове навантаження на дорожнє покриття.</w:t>
      </w:r>
    </w:p>
    <w:p w:rsidR="00497C3E" w:rsidRDefault="00497C3E" w:rsidP="005D2F8B">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Враховуючи вищевикладене, з метою уникнення подальшого погіршення соціального та економічного стану нашого регіону, Лисичанська міська рада неодноразово зверталась до Луганської обласної державної адміністрації, керівництва Укрзалізниці, Міністерства інфраструктури, Кабінету Міністрів України, Адміністрації президента України з метою приведення переліку послуг, які надає Укрзалізниця у відповідність до нагальних потреб.</w:t>
      </w:r>
    </w:p>
    <w:p w:rsidR="00497C3E" w:rsidRPr="002F4F97" w:rsidRDefault="00497C3E" w:rsidP="005D2F8B">
      <w:pPr>
        <w:spacing w:after="0" w:line="240" w:lineRule="auto"/>
        <w:ind w:firstLine="709"/>
        <w:jc w:val="both"/>
        <w:rPr>
          <w:rFonts w:ascii="Times New Roman" w:hAnsi="Times New Roman"/>
          <w:sz w:val="28"/>
          <w:szCs w:val="28"/>
          <w:lang w:val="uk-UA" w:eastAsia="ru-RU"/>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застарілий рухомий склад пасажирського транспорту;</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незадовільний стан доріг;</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збитковість транспортних підприємств через надання пільг на проїзд та відсутність належних компенсаційних виплат.</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864F92">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Сприяння розвитку сучасної транспортної інфраструктури.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864F9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виконання ремонтних робіт на об’єктах транспортної інфраструктури;</w:t>
      </w:r>
    </w:p>
    <w:p w:rsidR="00497C3E" w:rsidRPr="002F4F97" w:rsidRDefault="00497C3E" w:rsidP="00864F9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оновленню рухомого складу підприємств-перевізників.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перевезень вантажів до 2%, а перевезень пасажирів на 6%;</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рівня якості транспортного обслуговування;</w:t>
      </w:r>
    </w:p>
    <w:p w:rsidR="00497C3E" w:rsidRPr="002F4F97" w:rsidRDefault="00497C3E" w:rsidP="00AB003B">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рівня якості надання послуг з перевезення пасажирів з обмеженими фізичними можливостями у міському транспорті.</w:t>
      </w:r>
    </w:p>
    <w:p w:rsidR="00497C3E" w:rsidRPr="002F4F97" w:rsidRDefault="00497C3E" w:rsidP="00864F92">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lastRenderedPageBreak/>
        <w:t>СОЦІАЛЬНА СФЕРА</w:t>
      </w:r>
    </w:p>
    <w:p w:rsidR="00497C3E" w:rsidRPr="002F4F97" w:rsidRDefault="00497C3E" w:rsidP="00A347FF">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864F9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Демографічна ситуація</w:t>
      </w:r>
    </w:p>
    <w:p w:rsidR="00497C3E" w:rsidRPr="002F4F97" w:rsidRDefault="00497C3E" w:rsidP="00864F92">
      <w:pPr>
        <w:spacing w:after="0" w:line="240" w:lineRule="auto"/>
        <w:ind w:firstLine="709"/>
        <w:jc w:val="both"/>
        <w:rPr>
          <w:rFonts w:ascii="Times New Roman" w:hAnsi="Times New Roman"/>
          <w:sz w:val="28"/>
          <w:szCs w:val="28"/>
          <w:lang w:val="uk-UA" w:eastAsia="ru-RU"/>
        </w:rPr>
      </w:pPr>
    </w:p>
    <w:p w:rsidR="00497C3E" w:rsidRPr="002F4F97" w:rsidRDefault="00497C3E" w:rsidP="00864F92">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Станом на 01.</w:t>
      </w:r>
      <w:r>
        <w:rPr>
          <w:rFonts w:ascii="Times New Roman" w:hAnsi="Times New Roman"/>
          <w:sz w:val="28"/>
          <w:szCs w:val="28"/>
          <w:lang w:val="uk-UA" w:eastAsia="ru-RU"/>
        </w:rPr>
        <w:t>01</w:t>
      </w:r>
      <w:r w:rsidRPr="002F4F97">
        <w:rPr>
          <w:rFonts w:ascii="Times New Roman" w:hAnsi="Times New Roman"/>
          <w:sz w:val="28"/>
          <w:szCs w:val="28"/>
          <w:lang w:val="uk-UA" w:eastAsia="ru-RU"/>
        </w:rPr>
        <w:t>.201</w:t>
      </w:r>
      <w:r>
        <w:rPr>
          <w:rFonts w:ascii="Times New Roman" w:hAnsi="Times New Roman"/>
          <w:sz w:val="28"/>
          <w:szCs w:val="28"/>
          <w:lang w:val="uk-UA" w:eastAsia="ru-RU"/>
        </w:rPr>
        <w:t>9</w:t>
      </w:r>
      <w:r w:rsidRPr="002F4F97">
        <w:rPr>
          <w:rFonts w:ascii="Times New Roman" w:hAnsi="Times New Roman"/>
          <w:sz w:val="28"/>
          <w:szCs w:val="28"/>
          <w:lang w:val="uk-UA" w:eastAsia="ru-RU"/>
        </w:rPr>
        <w:t xml:space="preserve"> чисельність наявного населення міст Лисичанська, Новодружеська та Привілля становила 111 </w:t>
      </w:r>
      <w:r>
        <w:rPr>
          <w:rFonts w:ascii="Times New Roman" w:hAnsi="Times New Roman"/>
          <w:sz w:val="28"/>
          <w:szCs w:val="28"/>
          <w:lang w:val="uk-UA" w:eastAsia="ru-RU"/>
        </w:rPr>
        <w:t>270</w:t>
      </w:r>
      <w:r w:rsidRPr="002F4F97">
        <w:rPr>
          <w:rFonts w:ascii="Times New Roman" w:hAnsi="Times New Roman"/>
          <w:sz w:val="28"/>
          <w:szCs w:val="28"/>
          <w:lang w:val="uk-UA" w:eastAsia="ru-RU"/>
        </w:rPr>
        <w:t xml:space="preserve"> осіб, що на 1 3</w:t>
      </w:r>
      <w:r w:rsidR="008224A2">
        <w:rPr>
          <w:rFonts w:ascii="Times New Roman" w:hAnsi="Times New Roman"/>
          <w:sz w:val="28"/>
          <w:szCs w:val="28"/>
          <w:lang w:val="uk-UA" w:eastAsia="ru-RU"/>
        </w:rPr>
        <w:t>04</w:t>
      </w:r>
      <w:r w:rsidRPr="002F4F97">
        <w:rPr>
          <w:rFonts w:ascii="Times New Roman" w:hAnsi="Times New Roman"/>
          <w:sz w:val="28"/>
          <w:szCs w:val="28"/>
          <w:lang w:val="uk-UA" w:eastAsia="ru-RU"/>
        </w:rPr>
        <w:t xml:space="preserve"> осіб або на 1,1</w:t>
      </w:r>
      <w:r>
        <w:rPr>
          <w:rFonts w:ascii="Times New Roman" w:hAnsi="Times New Roman"/>
          <w:sz w:val="28"/>
          <w:szCs w:val="28"/>
          <w:lang w:val="uk-UA" w:eastAsia="ru-RU"/>
        </w:rPr>
        <w:t>5</w:t>
      </w:r>
      <w:r w:rsidRPr="002F4F97">
        <w:rPr>
          <w:rFonts w:ascii="Times New Roman" w:hAnsi="Times New Roman"/>
          <w:sz w:val="28"/>
          <w:szCs w:val="28"/>
          <w:lang w:val="uk-UA" w:eastAsia="ru-RU"/>
        </w:rPr>
        <w:t>% менше ніж у 2017 р. Протягом січня-</w:t>
      </w:r>
      <w:r>
        <w:rPr>
          <w:rFonts w:ascii="Times New Roman" w:hAnsi="Times New Roman"/>
          <w:sz w:val="28"/>
          <w:szCs w:val="28"/>
          <w:lang w:val="uk-UA" w:eastAsia="ru-RU"/>
        </w:rPr>
        <w:t>грудня</w:t>
      </w:r>
      <w:r w:rsidRPr="002F4F97">
        <w:rPr>
          <w:rFonts w:ascii="Times New Roman" w:hAnsi="Times New Roman"/>
          <w:sz w:val="28"/>
          <w:szCs w:val="28"/>
          <w:lang w:val="uk-UA" w:eastAsia="ru-RU"/>
        </w:rPr>
        <w:t xml:space="preserve"> 2018 року народилось </w:t>
      </w:r>
      <w:r>
        <w:rPr>
          <w:rFonts w:ascii="Times New Roman" w:hAnsi="Times New Roman"/>
          <w:sz w:val="28"/>
          <w:szCs w:val="28"/>
          <w:lang w:val="uk-UA" w:eastAsia="ru-RU"/>
        </w:rPr>
        <w:t>541</w:t>
      </w:r>
      <w:r w:rsidRPr="002F4F97">
        <w:rPr>
          <w:rFonts w:ascii="Times New Roman" w:hAnsi="Times New Roman"/>
          <w:sz w:val="28"/>
          <w:szCs w:val="28"/>
          <w:lang w:val="uk-UA" w:eastAsia="ru-RU"/>
        </w:rPr>
        <w:t xml:space="preserve"> </w:t>
      </w:r>
      <w:r>
        <w:rPr>
          <w:rFonts w:ascii="Times New Roman" w:hAnsi="Times New Roman"/>
          <w:sz w:val="28"/>
          <w:szCs w:val="28"/>
          <w:lang w:val="uk-UA" w:eastAsia="ru-RU"/>
        </w:rPr>
        <w:t>немовля</w:t>
      </w:r>
      <w:r w:rsidRPr="002F4F97">
        <w:rPr>
          <w:rFonts w:ascii="Times New Roman" w:hAnsi="Times New Roman"/>
          <w:sz w:val="28"/>
          <w:szCs w:val="28"/>
          <w:lang w:val="uk-UA" w:eastAsia="ru-RU"/>
        </w:rPr>
        <w:t>, померло 1 </w:t>
      </w:r>
      <w:r>
        <w:rPr>
          <w:rFonts w:ascii="Times New Roman" w:hAnsi="Times New Roman"/>
          <w:sz w:val="28"/>
          <w:szCs w:val="28"/>
          <w:lang w:val="uk-UA" w:eastAsia="ru-RU"/>
        </w:rPr>
        <w:t>820</w:t>
      </w:r>
      <w:r w:rsidRPr="002F4F97">
        <w:rPr>
          <w:rFonts w:ascii="Times New Roman" w:hAnsi="Times New Roman"/>
          <w:sz w:val="28"/>
          <w:szCs w:val="28"/>
          <w:lang w:val="uk-UA" w:eastAsia="ru-RU"/>
        </w:rPr>
        <w:t xml:space="preserve"> осіб. Природний рух населення склав -1 </w:t>
      </w:r>
      <w:r>
        <w:rPr>
          <w:rFonts w:ascii="Times New Roman" w:hAnsi="Times New Roman"/>
          <w:sz w:val="28"/>
          <w:szCs w:val="28"/>
          <w:lang w:val="uk-UA" w:eastAsia="ru-RU"/>
        </w:rPr>
        <w:t>279</w:t>
      </w:r>
      <w:r w:rsidRPr="002F4F97">
        <w:rPr>
          <w:rFonts w:ascii="Times New Roman" w:hAnsi="Times New Roman"/>
          <w:sz w:val="28"/>
          <w:szCs w:val="28"/>
          <w:lang w:val="uk-UA" w:eastAsia="ru-RU"/>
        </w:rPr>
        <w:t xml:space="preserve"> осіб. Міграційне сальдо за цей період негативне і склало </w:t>
      </w:r>
      <w:r>
        <w:rPr>
          <w:rFonts w:ascii="Times New Roman" w:hAnsi="Times New Roman"/>
          <w:sz w:val="28"/>
          <w:szCs w:val="28"/>
          <w:lang w:val="uk-UA" w:eastAsia="ru-RU"/>
        </w:rPr>
        <w:t>2</w:t>
      </w:r>
      <w:r w:rsidR="008224A2">
        <w:rPr>
          <w:rFonts w:ascii="Times New Roman" w:hAnsi="Times New Roman"/>
          <w:sz w:val="28"/>
          <w:szCs w:val="28"/>
          <w:lang w:val="uk-UA" w:eastAsia="ru-RU"/>
        </w:rPr>
        <w:t>5</w:t>
      </w:r>
      <w:r w:rsidRPr="002F4F97">
        <w:rPr>
          <w:rFonts w:ascii="Times New Roman" w:hAnsi="Times New Roman"/>
          <w:sz w:val="28"/>
          <w:szCs w:val="28"/>
          <w:lang w:val="uk-UA" w:eastAsia="ru-RU"/>
        </w:rPr>
        <w:t xml:space="preserve"> ос</w:t>
      </w:r>
      <w:r>
        <w:rPr>
          <w:rFonts w:ascii="Times New Roman" w:hAnsi="Times New Roman"/>
          <w:sz w:val="28"/>
          <w:szCs w:val="28"/>
          <w:lang w:val="uk-UA" w:eastAsia="ru-RU"/>
        </w:rPr>
        <w:t>обу</w:t>
      </w:r>
      <w:r w:rsidRPr="002F4F97">
        <w:rPr>
          <w:rFonts w:ascii="Times New Roman" w:hAnsi="Times New Roman"/>
          <w:sz w:val="28"/>
          <w:szCs w:val="28"/>
          <w:lang w:val="uk-UA" w:eastAsia="ru-RU"/>
        </w:rPr>
        <w:t>.</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природне зменшення чисельності населення;</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активізація міграційного відтоку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E172CE">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Створення умов для поліпшення демографічної ситуації, насамперед зниження смертності та збільшення народжуваності.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популяризація здорового способу життя;</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доступності та якості медичних послуг, розвиток сучасної матеріально-технічної бази установ охорони здоров’я;</w:t>
      </w:r>
    </w:p>
    <w:p w:rsidR="00497C3E" w:rsidRPr="002F4F97" w:rsidRDefault="00497C3E" w:rsidP="0051726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зменшення міграційного скорочення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E172CE">
      <w:pPr>
        <w:spacing w:after="0" w:line="240" w:lineRule="auto"/>
        <w:ind w:firstLine="709"/>
        <w:jc w:val="both"/>
        <w:rPr>
          <w:rFonts w:ascii="Times New Roman" w:hAnsi="Times New Roman"/>
          <w:sz w:val="28"/>
          <w:szCs w:val="28"/>
          <w:lang w:val="uk-UA" w:eastAsia="ru-RU"/>
        </w:rPr>
      </w:pPr>
      <w:r w:rsidRPr="002F4F97">
        <w:rPr>
          <w:rFonts w:ascii="Times New Roman" w:hAnsi="Times New Roman"/>
          <w:sz w:val="28"/>
          <w:szCs w:val="28"/>
          <w:lang w:val="uk-UA" w:eastAsia="ru-RU"/>
        </w:rPr>
        <w:t>Зниження темпів депопуляції та уповільнення міграційного відтоку населення.</w:t>
      </w:r>
    </w:p>
    <w:p w:rsidR="00497C3E" w:rsidRPr="002F4F97" w:rsidRDefault="00497C3E" w:rsidP="00E172CE">
      <w:pPr>
        <w:spacing w:after="0" w:line="240" w:lineRule="auto"/>
        <w:ind w:firstLine="709"/>
        <w:jc w:val="both"/>
        <w:rPr>
          <w:rFonts w:ascii="Times New Roman" w:hAnsi="Times New Roman"/>
          <w:sz w:val="28"/>
          <w:szCs w:val="28"/>
          <w:lang w:val="uk-UA" w:eastAsia="ru-RU"/>
        </w:rPr>
      </w:pPr>
    </w:p>
    <w:p w:rsidR="00497C3E" w:rsidRPr="002F4F97" w:rsidRDefault="00497C3E" w:rsidP="00D1645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Зайнятість населення та ринок праці</w:t>
      </w:r>
    </w:p>
    <w:p w:rsidR="00497C3E" w:rsidRPr="002F4F97" w:rsidRDefault="00497C3E" w:rsidP="00D21670">
      <w:pPr>
        <w:spacing w:after="0" w:line="240" w:lineRule="auto"/>
        <w:ind w:firstLine="709"/>
        <w:jc w:val="both"/>
        <w:rPr>
          <w:rFonts w:ascii="Times New Roman" w:hAnsi="Times New Roman"/>
          <w:sz w:val="28"/>
          <w:szCs w:val="28"/>
          <w:lang w:val="uk-UA"/>
        </w:rPr>
      </w:pP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2018 року спостерігалися позитивні тенденції, щодо стабілізації ситуації на ринку праці міста. Порівняно з 2017 роком, відбулося зростання рівня зайнятості населення та зниження рівня безробіття. Масових звільнень не спостерігалося, але протягом 2018 року 8 підприємств надали інформацію про заплановані звільнення 183 працівників.</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Кількість вакансій, заявлених роботодавцями до Лисичанського міського центру зайнятості у 2018 році становила 1997 од., що на 364 вакансії більше, ніж у січні – грудні 2017 року. Станом на 1 січня 2019 р. у базі даних Лисичанського міського центру зайнятості налічувалося 123 актуальні вакансії, це на 8,5% більше, ніж на 1 січня 2018 р. Крім того, у базі даних служби зайнятості містилася інформація про 648 пропозицій роботи, отриманих з інших джерел. На 1 січня 2019 року таких пропозицій налічувалось 52.</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У більшості вакансій, що були актуальними протягом 2018 року, пропонувалася заробітна плата від мінімальної до середньої по регіону – 79,7%, мінімальна заробітна плата – 15,8% і лише 4,5 % вакансій </w:t>
      </w:r>
      <w:r w:rsidRPr="002F4F97">
        <w:rPr>
          <w:rFonts w:ascii="Times New Roman" w:hAnsi="Times New Roman"/>
          <w:sz w:val="28"/>
          <w:szCs w:val="28"/>
          <w:lang w:val="uk-UA"/>
        </w:rPr>
        <w:lastRenderedPageBreak/>
        <w:t>запропонована заробітна плата перевищувала 7 тис. грн. Середній розмір заробітної плати у вакансіях – 4458,5 грн.</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видами економічної діяльності кожна друга вакансія пропонується на підприємствах та установах переробної та добувної промисловості, постачання електроенергії, газу, пари та кондиційованого повітря, водопостачання, каналізація, поводження з відходами (45,8%), у освіті, соцсфері (19,6%), у торгівлі та ремонту автотранспорту (15%), у охороні здоров’я (9,6%), у державному управлінні й обороні; соціальному страхуванні (3,3%) та інші (6,7%).</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професійними групами найбільший попит роботодавців спостерігається на кваліфікованих робітників з інструментом (22%) на професіоналів та на робітників з обслуговування, експлуатації устаткування (29,7%), а також на працівників сфери торгівлі та послуг (14,5%), фахівців, юристів та технічних службовців (33,8%). Рівень укомплектування вакансій у 2018 році склав 88,7%, що на 2,2% більше аналогічному періоду 2017 року.</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12 місяців 2018 року у пошуку роботи до Лисичанського міського центру зайнятості звернулося 5 326 осіб. Статус безробітного отримали 2 666 осіб. Станом на 01.01.2019 на обліку в Лисичанському міському центрі зайнятості перебувало 765 безробітних, що на 15,6% менше ніж 2017 року.</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2018 році за сприянням державної служби зайнятості працевлаштовані 1 537 осіб. З них 737 безробітних та 800 осіб що перебували на обліку , як шукачі роботи.</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підвищення конкурентоспроможності на ринку праці 266 осіб, з числа безробітних проходило профнавчання, перенавчання, підвищення кваліфікації.</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серпні-грудні 2018 року Лисичанським міським центром зайнятості видано 3 ваучери для підтримання конкурентоспроможності осіб на ринку праці на підвищення кваліфікації за спеціальностями медсестринство – 223 та ветеринарна медицина – 211.</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12 місяців 2018 року 246 безробітних залучено до участі в громадських роботах та інших роботах тимчасового характеру.</w:t>
      </w:r>
    </w:p>
    <w:p w:rsidR="00497C3E" w:rsidRPr="002F4F97" w:rsidRDefault="00497C3E" w:rsidP="003972C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У 2018 року на обліку в Лисичанському міському центрі зайнятості перебувало 849 безробітних громадян, які мають додаткові гарантії у сприянні працевлаштуванню. З них працевлаштовані – 240 осіб, в тому числі 3 особи шляхом виплати </w:t>
      </w:r>
      <w:bookmarkStart w:id="10" w:name="_Hlk530400027"/>
      <w:r w:rsidRPr="002F4F97">
        <w:rPr>
          <w:rFonts w:ascii="Times New Roman" w:hAnsi="Times New Roman"/>
          <w:sz w:val="28"/>
          <w:szCs w:val="28"/>
          <w:lang w:val="uk-UA"/>
        </w:rPr>
        <w:t>допомоги по безробіттю одноразово під самозайнятість</w:t>
      </w:r>
      <w:bookmarkEnd w:id="10"/>
      <w:r w:rsidRPr="002F4F97">
        <w:rPr>
          <w:rFonts w:ascii="Times New Roman" w:hAnsi="Times New Roman"/>
          <w:sz w:val="28"/>
          <w:szCs w:val="28"/>
          <w:lang w:val="uk-UA"/>
        </w:rPr>
        <w:t>. Проходили професійне навчання – 98 осіб, приймали участь у громадських та тимчасових роботах – 86 осіб.</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вимушене зменшення штату працівників на підприємствах в результаті кризових явищ в економіці;</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наявність тіньових відносин у малому та середньому бізнесі при працевлаштуванні незайнятого населення;</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низький рівень привабливості вакансій, наданих роботодавцями до центрів зайнятості.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Основні пріоритети:</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конкурентоспроможності економічно активного населення регіону за рахунок профорієнтації і професійного навчання;</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підвищення доступності і якості послуг на ринку праці.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удосконалення методів роботи з роботодавцями шляхом проведення ярмарків вакансій, круглих столів та семінарів;</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проведення інформаційно-роз’яснювальної роботи серед соціальних партнерів, роботодавців та населення щодо спектру послуг, які надаються службою зайнятості, у тому числі у засобах масової інформації.</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D21670">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збільшення обсягів працевлаштування населення шляхом обміну інформацією про вакансії, попит та пропозицію робочої сили;</w:t>
      </w:r>
    </w:p>
    <w:p w:rsidR="00497C3E" w:rsidRPr="00F17B94" w:rsidRDefault="00497C3E" w:rsidP="00D21670">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2F4F97">
        <w:rPr>
          <w:rFonts w:ascii="Times New Roman" w:hAnsi="Times New Roman"/>
          <w:sz w:val="28"/>
          <w:szCs w:val="28"/>
          <w:lang w:val="uk-UA"/>
        </w:rPr>
        <w:t xml:space="preserve">забезпечення рівних можливостей особам у реалізації їх права на зайнятість шляхом підвищення професійного рівня працездатного населення відповідно до </w:t>
      </w:r>
      <w:r w:rsidRPr="00F17B94">
        <w:rPr>
          <w:rFonts w:ascii="Times New Roman" w:hAnsi="Times New Roman"/>
          <w:color w:val="000000"/>
          <w:sz w:val="28"/>
          <w:szCs w:val="28"/>
          <w:lang w:val="uk-UA"/>
        </w:rPr>
        <w:t>суспільних потреб;</w:t>
      </w:r>
    </w:p>
    <w:p w:rsidR="00497C3E" w:rsidRPr="00F17B94" w:rsidRDefault="00497C3E" w:rsidP="00D21670">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підвищення конкурентоспроможності та професійного рівня шукачів роботи шляхом направлення на професійне навчання безробітних за найбільш ефективними видами і напрямками професій.</w:t>
      </w:r>
    </w:p>
    <w:p w:rsidR="00755249" w:rsidRPr="00F17B94" w:rsidRDefault="00755249" w:rsidP="00755249">
      <w:pPr>
        <w:tabs>
          <w:tab w:val="left" w:pos="1276"/>
        </w:tabs>
        <w:spacing w:after="0" w:line="240" w:lineRule="auto"/>
        <w:ind w:left="709"/>
        <w:jc w:val="both"/>
        <w:rPr>
          <w:rFonts w:ascii="Times New Roman" w:hAnsi="Times New Roman"/>
          <w:color w:val="000000"/>
          <w:sz w:val="28"/>
          <w:szCs w:val="28"/>
          <w:lang w:val="uk-UA"/>
        </w:rPr>
      </w:pPr>
    </w:p>
    <w:p w:rsidR="00497C3E" w:rsidRPr="00F17B94" w:rsidRDefault="00497C3E" w:rsidP="00476467">
      <w:pPr>
        <w:numPr>
          <w:ilvl w:val="1"/>
          <w:numId w:val="2"/>
        </w:numPr>
        <w:tabs>
          <w:tab w:val="left" w:pos="1560"/>
        </w:tabs>
        <w:spacing w:after="0" w:line="240" w:lineRule="auto"/>
        <w:ind w:left="0" w:firstLine="709"/>
        <w:contextualSpacing/>
        <w:jc w:val="both"/>
        <w:rPr>
          <w:rFonts w:ascii="Times New Roman" w:hAnsi="Times New Roman"/>
          <w:b/>
          <w:color w:val="000000"/>
          <w:sz w:val="28"/>
          <w:szCs w:val="28"/>
          <w:lang w:val="uk-UA" w:eastAsia="ru-RU"/>
        </w:rPr>
      </w:pPr>
      <w:r w:rsidRPr="00F17B94">
        <w:rPr>
          <w:rFonts w:ascii="Times New Roman" w:hAnsi="Times New Roman"/>
          <w:b/>
          <w:color w:val="000000"/>
          <w:sz w:val="28"/>
          <w:szCs w:val="28"/>
          <w:lang w:val="uk-UA" w:eastAsia="ru-RU"/>
        </w:rPr>
        <w:t>Грошові доходи населення та заробітна плата</w:t>
      </w:r>
    </w:p>
    <w:p w:rsidR="00497C3E" w:rsidRPr="00F17B94" w:rsidRDefault="00497C3E" w:rsidP="004B76BA">
      <w:pPr>
        <w:spacing w:after="0" w:line="240" w:lineRule="auto"/>
        <w:ind w:firstLine="709"/>
        <w:jc w:val="both"/>
        <w:rPr>
          <w:rFonts w:ascii="Times New Roman" w:hAnsi="Times New Roman"/>
          <w:color w:val="000000"/>
          <w:sz w:val="28"/>
          <w:szCs w:val="28"/>
          <w:lang w:val="uk-UA"/>
        </w:rPr>
      </w:pPr>
    </w:p>
    <w:p w:rsidR="00497C3E" w:rsidRPr="00F17B94" w:rsidRDefault="00497C3E" w:rsidP="004B76BA">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Середньомісячна заробітна плата за I</w:t>
      </w:r>
      <w:r w:rsidRPr="00F17B94">
        <w:rPr>
          <w:rFonts w:ascii="Times New Roman" w:hAnsi="Times New Roman"/>
          <w:color w:val="000000"/>
          <w:sz w:val="28"/>
          <w:szCs w:val="28"/>
          <w:lang w:val="en-US"/>
        </w:rPr>
        <w:t>V</w:t>
      </w:r>
      <w:r w:rsidRPr="00F17B94">
        <w:rPr>
          <w:rFonts w:ascii="Times New Roman" w:hAnsi="Times New Roman"/>
          <w:color w:val="000000"/>
          <w:sz w:val="28"/>
          <w:szCs w:val="28"/>
          <w:lang w:val="uk-UA"/>
        </w:rPr>
        <w:t xml:space="preserve"> квартал 2018 року склала </w:t>
      </w:r>
      <w:r w:rsidRPr="00F17B94">
        <w:rPr>
          <w:rFonts w:ascii="Times New Roman" w:hAnsi="Times New Roman"/>
          <w:color w:val="000000"/>
          <w:sz w:val="28"/>
          <w:szCs w:val="28"/>
        </w:rPr>
        <w:t>7045</w:t>
      </w:r>
      <w:r w:rsidRPr="00F17B94">
        <w:rPr>
          <w:rFonts w:ascii="Times New Roman" w:hAnsi="Times New Roman"/>
          <w:color w:val="000000"/>
          <w:sz w:val="28"/>
          <w:szCs w:val="28"/>
          <w:lang w:val="uk-UA"/>
        </w:rPr>
        <w:t> грн., що склало 89,</w:t>
      </w:r>
      <w:r w:rsidRPr="00F17B94">
        <w:rPr>
          <w:rFonts w:ascii="Times New Roman" w:hAnsi="Times New Roman"/>
          <w:color w:val="000000"/>
          <w:sz w:val="28"/>
          <w:szCs w:val="28"/>
        </w:rPr>
        <w:t>8</w:t>
      </w:r>
      <w:r w:rsidRPr="00F17B94">
        <w:rPr>
          <w:rFonts w:ascii="Times New Roman" w:hAnsi="Times New Roman"/>
          <w:color w:val="000000"/>
          <w:sz w:val="28"/>
          <w:szCs w:val="28"/>
          <w:lang w:val="uk-UA"/>
        </w:rPr>
        <w:t>% до середньої заробітної плати за даний період по області (в I</w:t>
      </w:r>
      <w:r w:rsidRPr="00F17B94">
        <w:rPr>
          <w:rFonts w:ascii="Times New Roman" w:hAnsi="Times New Roman"/>
          <w:color w:val="000000"/>
          <w:sz w:val="28"/>
          <w:szCs w:val="28"/>
          <w:lang w:val="en-US"/>
        </w:rPr>
        <w:t>V</w:t>
      </w:r>
      <w:r w:rsidRPr="00F17B94">
        <w:rPr>
          <w:rFonts w:ascii="Times New Roman" w:hAnsi="Times New Roman"/>
          <w:color w:val="000000"/>
          <w:sz w:val="28"/>
          <w:szCs w:val="28"/>
          <w:lang w:val="uk-UA"/>
        </w:rPr>
        <w:t xml:space="preserve"> кварталі 2018 року – </w:t>
      </w:r>
      <w:r w:rsidRPr="00F17B94">
        <w:rPr>
          <w:rFonts w:ascii="Times New Roman" w:hAnsi="Times New Roman"/>
          <w:color w:val="000000"/>
          <w:sz w:val="28"/>
          <w:szCs w:val="28"/>
        </w:rPr>
        <w:t>7841</w:t>
      </w:r>
      <w:r w:rsidRPr="00F17B94">
        <w:rPr>
          <w:rFonts w:ascii="Times New Roman" w:hAnsi="Times New Roman"/>
          <w:color w:val="000000"/>
          <w:sz w:val="28"/>
          <w:szCs w:val="28"/>
          <w:lang w:val="uk-UA"/>
        </w:rPr>
        <w:t xml:space="preserve"> грн.). Середній розмір пенсії по місту станом на 01.01.2019 складає 3 456,0 грн., що на 68,27 грн. або на 2,02% більше аналогічного показника на 01.01.2018. Заборгованість з виплати пенсій відсутня.</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За статистичними даними загальна сума заборгованості із заробітної плати по м. Лисичанськ на 01.</w:t>
      </w:r>
      <w:r w:rsidR="00755249" w:rsidRPr="00F17B94">
        <w:rPr>
          <w:rFonts w:ascii="Times New Roman" w:hAnsi="Times New Roman"/>
          <w:color w:val="000000"/>
          <w:sz w:val="28"/>
          <w:szCs w:val="28"/>
          <w:lang w:val="uk-UA"/>
        </w:rPr>
        <w:t>01</w:t>
      </w:r>
      <w:r w:rsidRPr="00F17B94">
        <w:rPr>
          <w:rFonts w:ascii="Times New Roman" w:hAnsi="Times New Roman"/>
          <w:color w:val="000000"/>
          <w:sz w:val="28"/>
          <w:szCs w:val="28"/>
          <w:lang w:val="uk-UA"/>
        </w:rPr>
        <w:t>.201</w:t>
      </w:r>
      <w:r w:rsidR="00755249" w:rsidRPr="00F17B94">
        <w:rPr>
          <w:rFonts w:ascii="Times New Roman" w:hAnsi="Times New Roman"/>
          <w:color w:val="000000"/>
          <w:sz w:val="28"/>
          <w:szCs w:val="28"/>
          <w:lang w:val="uk-UA"/>
        </w:rPr>
        <w:t>9</w:t>
      </w:r>
      <w:r w:rsidRPr="00F17B94">
        <w:rPr>
          <w:rFonts w:ascii="Times New Roman" w:hAnsi="Times New Roman"/>
          <w:color w:val="000000"/>
          <w:sz w:val="28"/>
          <w:szCs w:val="28"/>
          <w:lang w:val="uk-UA"/>
        </w:rPr>
        <w:t xml:space="preserve"> р. становила </w:t>
      </w:r>
      <w:r w:rsidR="00755249" w:rsidRPr="00F17B94">
        <w:rPr>
          <w:rFonts w:ascii="Times New Roman" w:hAnsi="Times New Roman"/>
          <w:color w:val="000000"/>
          <w:sz w:val="28"/>
          <w:szCs w:val="28"/>
          <w:lang w:val="uk-UA"/>
        </w:rPr>
        <w:t>39695,4</w:t>
      </w:r>
      <w:r w:rsidRPr="00F17B94">
        <w:rPr>
          <w:rFonts w:ascii="Times New Roman" w:hAnsi="Times New Roman"/>
          <w:color w:val="000000"/>
          <w:sz w:val="28"/>
          <w:szCs w:val="28"/>
          <w:lang w:val="uk-UA"/>
        </w:rPr>
        <w:t xml:space="preserve"> тис. грн., що на </w:t>
      </w:r>
      <w:r w:rsidR="00B04CAE" w:rsidRPr="00F17B94">
        <w:rPr>
          <w:rFonts w:ascii="Times New Roman" w:hAnsi="Times New Roman"/>
          <w:color w:val="000000"/>
          <w:sz w:val="28"/>
          <w:szCs w:val="28"/>
          <w:lang w:val="uk-UA"/>
        </w:rPr>
        <w:t>27507,8</w:t>
      </w:r>
      <w:r w:rsidRPr="00F17B94">
        <w:rPr>
          <w:rFonts w:ascii="Times New Roman" w:hAnsi="Times New Roman"/>
          <w:color w:val="000000"/>
          <w:sz w:val="28"/>
          <w:szCs w:val="28"/>
          <w:lang w:val="uk-UA"/>
        </w:rPr>
        <w:t xml:space="preserve"> тис. грн. або </w:t>
      </w:r>
      <w:r w:rsidR="00B04CAE" w:rsidRPr="00F17B94">
        <w:rPr>
          <w:rFonts w:ascii="Times New Roman" w:hAnsi="Times New Roman"/>
          <w:color w:val="000000"/>
          <w:sz w:val="28"/>
          <w:szCs w:val="28"/>
          <w:lang w:val="uk-UA"/>
        </w:rPr>
        <w:t>42,8</w:t>
      </w:r>
      <w:r w:rsidRPr="00F17B94">
        <w:rPr>
          <w:rFonts w:ascii="Times New Roman" w:hAnsi="Times New Roman"/>
          <w:color w:val="000000"/>
          <w:sz w:val="28"/>
          <w:szCs w:val="28"/>
          <w:lang w:val="uk-UA"/>
        </w:rPr>
        <w:t>% менше ніж на 01.01.2018 р. В розрізі економічно активних підприємств сума боргу становила по підприємствах:</w:t>
      </w:r>
    </w:p>
    <w:p w:rsidR="00497C3E" w:rsidRPr="00F17B94" w:rsidRDefault="00497C3E" w:rsidP="006C499C">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 xml:space="preserve">економічно активних – </w:t>
      </w:r>
      <w:r w:rsidR="00B04CAE" w:rsidRPr="00F17B94">
        <w:rPr>
          <w:rFonts w:ascii="Times New Roman" w:hAnsi="Times New Roman"/>
          <w:color w:val="000000"/>
          <w:sz w:val="28"/>
          <w:szCs w:val="28"/>
          <w:lang w:val="uk-UA"/>
        </w:rPr>
        <w:t>36813,4</w:t>
      </w:r>
      <w:r w:rsidRPr="00F17B94">
        <w:rPr>
          <w:rFonts w:ascii="Times New Roman" w:hAnsi="Times New Roman"/>
          <w:color w:val="000000"/>
          <w:sz w:val="28"/>
          <w:szCs w:val="28"/>
          <w:lang w:val="uk-UA"/>
        </w:rPr>
        <w:t xml:space="preserve"> тис. грн. або </w:t>
      </w:r>
      <w:r w:rsidR="00B04CAE" w:rsidRPr="00F17B94">
        <w:rPr>
          <w:rFonts w:ascii="Times New Roman" w:hAnsi="Times New Roman"/>
          <w:color w:val="000000"/>
          <w:sz w:val="28"/>
          <w:szCs w:val="28"/>
          <w:lang w:val="uk-UA"/>
        </w:rPr>
        <w:t>92,74</w:t>
      </w:r>
      <w:r w:rsidRPr="00F17B94">
        <w:rPr>
          <w:rFonts w:ascii="Times New Roman" w:hAnsi="Times New Roman"/>
          <w:color w:val="000000"/>
          <w:sz w:val="28"/>
          <w:szCs w:val="28"/>
          <w:lang w:val="uk-UA"/>
        </w:rPr>
        <w:t>%,</w:t>
      </w:r>
    </w:p>
    <w:p w:rsidR="00497C3E" w:rsidRPr="00F17B94" w:rsidRDefault="00497C3E" w:rsidP="006C499C">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 xml:space="preserve">банкрутах – </w:t>
      </w:r>
      <w:r w:rsidR="00B04CAE" w:rsidRPr="00F17B94">
        <w:rPr>
          <w:rFonts w:ascii="Times New Roman" w:hAnsi="Times New Roman"/>
          <w:color w:val="000000"/>
          <w:sz w:val="28"/>
          <w:szCs w:val="28"/>
          <w:lang w:val="uk-UA"/>
        </w:rPr>
        <w:t xml:space="preserve">1262,8 </w:t>
      </w:r>
      <w:r w:rsidRPr="00F17B94">
        <w:rPr>
          <w:rFonts w:ascii="Times New Roman" w:hAnsi="Times New Roman"/>
          <w:color w:val="000000"/>
          <w:sz w:val="28"/>
          <w:szCs w:val="28"/>
          <w:lang w:val="uk-UA"/>
        </w:rPr>
        <w:t>тис. грн. або 2,</w:t>
      </w:r>
      <w:r w:rsidR="00B04CAE" w:rsidRPr="00F17B94">
        <w:rPr>
          <w:rFonts w:ascii="Times New Roman" w:hAnsi="Times New Roman"/>
          <w:color w:val="000000"/>
          <w:sz w:val="28"/>
          <w:szCs w:val="28"/>
          <w:lang w:val="uk-UA"/>
        </w:rPr>
        <w:t>86</w:t>
      </w:r>
      <w:r w:rsidRPr="00F17B94">
        <w:rPr>
          <w:rFonts w:ascii="Times New Roman" w:hAnsi="Times New Roman"/>
          <w:color w:val="000000"/>
          <w:sz w:val="28"/>
          <w:szCs w:val="28"/>
          <w:lang w:val="uk-UA"/>
        </w:rPr>
        <w:t>%,</w:t>
      </w:r>
    </w:p>
    <w:p w:rsidR="00497C3E" w:rsidRPr="00F17B94" w:rsidRDefault="00497C3E" w:rsidP="006C499C">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 xml:space="preserve">економічно неактивних – 1619,2 тис. грн. або </w:t>
      </w:r>
      <w:r w:rsidR="00B04CAE" w:rsidRPr="00F17B94">
        <w:rPr>
          <w:rFonts w:ascii="Times New Roman" w:hAnsi="Times New Roman"/>
          <w:color w:val="000000"/>
          <w:sz w:val="28"/>
          <w:szCs w:val="28"/>
          <w:lang w:val="uk-UA"/>
        </w:rPr>
        <w:t>4,4</w:t>
      </w:r>
      <w:r w:rsidRPr="00F17B94">
        <w:rPr>
          <w:rFonts w:ascii="Times New Roman" w:hAnsi="Times New Roman"/>
          <w:color w:val="000000"/>
          <w:sz w:val="28"/>
          <w:szCs w:val="28"/>
          <w:lang w:val="uk-UA"/>
        </w:rPr>
        <w:t>%.</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Станом на 01.</w:t>
      </w:r>
      <w:r w:rsidR="00B04CAE" w:rsidRPr="00F17B94">
        <w:rPr>
          <w:rFonts w:ascii="Times New Roman" w:hAnsi="Times New Roman"/>
          <w:color w:val="000000"/>
          <w:sz w:val="28"/>
          <w:szCs w:val="28"/>
          <w:lang w:val="uk-UA"/>
        </w:rPr>
        <w:t xml:space="preserve">01.2019 </w:t>
      </w:r>
      <w:r w:rsidRPr="00F17B94">
        <w:rPr>
          <w:rFonts w:ascii="Times New Roman" w:hAnsi="Times New Roman"/>
          <w:color w:val="000000"/>
          <w:sz w:val="28"/>
          <w:szCs w:val="28"/>
          <w:lang w:val="uk-UA"/>
        </w:rPr>
        <w:t xml:space="preserve">р. заборгованість по підприємствах комунальної форми власності становила </w:t>
      </w:r>
      <w:r w:rsidR="00B04CAE" w:rsidRPr="00F17B94">
        <w:rPr>
          <w:rFonts w:ascii="Times New Roman" w:hAnsi="Times New Roman"/>
          <w:color w:val="000000"/>
          <w:sz w:val="28"/>
          <w:szCs w:val="28"/>
          <w:lang w:val="uk-UA"/>
        </w:rPr>
        <w:t>3180,8</w:t>
      </w:r>
      <w:r w:rsidRPr="00F17B94">
        <w:rPr>
          <w:rFonts w:ascii="Times New Roman" w:hAnsi="Times New Roman"/>
          <w:color w:val="000000"/>
          <w:sz w:val="28"/>
          <w:szCs w:val="28"/>
          <w:lang w:val="uk-UA"/>
        </w:rPr>
        <w:t xml:space="preserve"> тис. грн. і порівняно з даними на 01.01.2018 р. (806,6 тис. грн.) збільшення на </w:t>
      </w:r>
      <w:r w:rsidR="00B04CAE" w:rsidRPr="00F17B94">
        <w:rPr>
          <w:rFonts w:ascii="Times New Roman" w:hAnsi="Times New Roman"/>
          <w:color w:val="000000"/>
          <w:sz w:val="28"/>
          <w:szCs w:val="28"/>
          <w:lang w:val="uk-UA"/>
        </w:rPr>
        <w:t>2374,2</w:t>
      </w:r>
      <w:r w:rsidRPr="00F17B94">
        <w:rPr>
          <w:rFonts w:ascii="Times New Roman" w:hAnsi="Times New Roman"/>
          <w:color w:val="000000"/>
          <w:sz w:val="28"/>
          <w:szCs w:val="28"/>
          <w:lang w:val="uk-UA"/>
        </w:rPr>
        <w:t xml:space="preserve"> тис. грн. або </w:t>
      </w:r>
      <w:r w:rsidR="00B04CAE" w:rsidRPr="00F17B94">
        <w:rPr>
          <w:rFonts w:ascii="Times New Roman" w:hAnsi="Times New Roman"/>
          <w:color w:val="000000"/>
          <w:sz w:val="28"/>
          <w:szCs w:val="28"/>
          <w:lang w:val="uk-UA"/>
        </w:rPr>
        <w:t>294</w:t>
      </w:r>
      <w:r w:rsidRPr="00F17B94">
        <w:rPr>
          <w:rFonts w:ascii="Times New Roman" w:hAnsi="Times New Roman"/>
          <w:color w:val="000000"/>
          <w:sz w:val="28"/>
          <w:szCs w:val="28"/>
          <w:lang w:val="uk-UA"/>
        </w:rPr>
        <w:t>,</w:t>
      </w:r>
      <w:r w:rsidR="00B04CAE" w:rsidRPr="00F17B94">
        <w:rPr>
          <w:rFonts w:ascii="Times New Roman" w:hAnsi="Times New Roman"/>
          <w:color w:val="000000"/>
          <w:sz w:val="28"/>
          <w:szCs w:val="28"/>
          <w:lang w:val="uk-UA"/>
        </w:rPr>
        <w:t>4</w:t>
      </w:r>
      <w:r w:rsidRPr="00F17B94">
        <w:rPr>
          <w:rFonts w:ascii="Times New Roman" w:hAnsi="Times New Roman"/>
          <w:color w:val="000000"/>
          <w:sz w:val="28"/>
          <w:szCs w:val="28"/>
          <w:lang w:val="uk-UA"/>
        </w:rPr>
        <w:t>%.</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 xml:space="preserve">В обсязі загальної заборгованості </w:t>
      </w:r>
      <w:r w:rsidR="00B04CAE" w:rsidRPr="00F17B94">
        <w:rPr>
          <w:rFonts w:ascii="Times New Roman" w:hAnsi="Times New Roman"/>
          <w:color w:val="000000"/>
          <w:sz w:val="28"/>
          <w:szCs w:val="28"/>
          <w:lang w:val="uk-UA"/>
        </w:rPr>
        <w:t xml:space="preserve">на 01.01.2019 </w:t>
      </w:r>
      <w:r w:rsidRPr="00F17B94">
        <w:rPr>
          <w:rFonts w:ascii="Times New Roman" w:hAnsi="Times New Roman"/>
          <w:color w:val="000000"/>
          <w:sz w:val="28"/>
          <w:szCs w:val="28"/>
          <w:lang w:val="uk-UA"/>
        </w:rPr>
        <w:t>5</w:t>
      </w:r>
      <w:r w:rsidR="00B04CAE" w:rsidRPr="00F17B94">
        <w:rPr>
          <w:rFonts w:ascii="Times New Roman" w:hAnsi="Times New Roman"/>
          <w:color w:val="000000"/>
          <w:sz w:val="28"/>
          <w:szCs w:val="28"/>
          <w:lang w:val="uk-UA"/>
        </w:rPr>
        <w:t>5</w:t>
      </w:r>
      <w:r w:rsidRPr="00F17B94">
        <w:rPr>
          <w:rFonts w:ascii="Times New Roman" w:hAnsi="Times New Roman"/>
          <w:color w:val="000000"/>
          <w:sz w:val="28"/>
          <w:szCs w:val="28"/>
          <w:lang w:val="uk-UA"/>
        </w:rPr>
        <w:t xml:space="preserve">% (або </w:t>
      </w:r>
      <w:r w:rsidR="00B04CAE" w:rsidRPr="00F17B94">
        <w:rPr>
          <w:rFonts w:ascii="Times New Roman" w:hAnsi="Times New Roman"/>
          <w:color w:val="000000"/>
          <w:sz w:val="28"/>
          <w:szCs w:val="28"/>
          <w:lang w:val="uk-UA"/>
        </w:rPr>
        <w:t>20235,4</w:t>
      </w:r>
      <w:r w:rsidRPr="00F17B94">
        <w:rPr>
          <w:rFonts w:ascii="Times New Roman" w:hAnsi="Times New Roman"/>
          <w:color w:val="000000"/>
          <w:sz w:val="28"/>
          <w:szCs w:val="28"/>
          <w:lang w:val="uk-UA"/>
        </w:rPr>
        <w:t xml:space="preserve"> тис. грн.) боргу сформували підприємства вугільної промисловості (ПАТ «Лисичанськвугілля» та 11 відокремлених підрозділів), підприємства, які перемістились в м. Лисичанськ з території Луганської області, де органи державної влади тимчасово не здійснюють свої повноваження становила </w:t>
      </w:r>
      <w:r w:rsidR="008D3F62" w:rsidRPr="00F17B94">
        <w:rPr>
          <w:rFonts w:ascii="Times New Roman" w:hAnsi="Times New Roman"/>
          <w:color w:val="000000"/>
          <w:sz w:val="28"/>
          <w:szCs w:val="28"/>
          <w:lang w:val="uk-UA"/>
        </w:rPr>
        <w:t>32,4</w:t>
      </w:r>
      <w:r w:rsidRPr="00F17B94">
        <w:rPr>
          <w:rFonts w:ascii="Times New Roman" w:hAnsi="Times New Roman"/>
          <w:color w:val="000000"/>
          <w:sz w:val="28"/>
          <w:szCs w:val="28"/>
          <w:lang w:val="uk-UA"/>
        </w:rPr>
        <w:t xml:space="preserve">% (або </w:t>
      </w:r>
      <w:r w:rsidR="008D3F62" w:rsidRPr="00F17B94">
        <w:rPr>
          <w:rFonts w:ascii="Times New Roman" w:hAnsi="Times New Roman"/>
          <w:color w:val="000000"/>
          <w:sz w:val="28"/>
          <w:szCs w:val="28"/>
          <w:lang w:val="uk-UA"/>
        </w:rPr>
        <w:t>11918,4</w:t>
      </w:r>
      <w:r w:rsidRPr="00F17B94">
        <w:rPr>
          <w:rFonts w:ascii="Times New Roman" w:hAnsi="Times New Roman"/>
          <w:color w:val="000000"/>
          <w:sz w:val="28"/>
          <w:szCs w:val="28"/>
          <w:lang w:val="uk-UA"/>
        </w:rPr>
        <w:t xml:space="preserve"> тис. грн.).</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lastRenderedPageBreak/>
        <w:t xml:space="preserve">За рахунок держпідтримки заборгованість </w:t>
      </w:r>
      <w:r w:rsidR="008D3F62" w:rsidRPr="00F17B94">
        <w:rPr>
          <w:rFonts w:ascii="Times New Roman" w:hAnsi="Times New Roman"/>
          <w:color w:val="000000"/>
          <w:sz w:val="28"/>
          <w:szCs w:val="28"/>
          <w:lang w:val="uk-UA"/>
        </w:rPr>
        <w:t xml:space="preserve">з заробітної плати працівникам ПАТ «Лисичанськвугілля» </w:t>
      </w:r>
      <w:r w:rsidRPr="00F17B94">
        <w:rPr>
          <w:rFonts w:ascii="Times New Roman" w:hAnsi="Times New Roman"/>
          <w:color w:val="000000"/>
          <w:sz w:val="28"/>
          <w:szCs w:val="28"/>
          <w:lang w:val="uk-UA"/>
        </w:rPr>
        <w:t>погашена протягом лютого</w:t>
      </w:r>
      <w:r w:rsidR="008D3F62" w:rsidRPr="00F17B94">
        <w:rPr>
          <w:rFonts w:ascii="Times New Roman" w:hAnsi="Times New Roman"/>
          <w:color w:val="000000"/>
          <w:sz w:val="28"/>
          <w:szCs w:val="28"/>
          <w:lang w:val="uk-UA"/>
        </w:rPr>
        <w:t>-</w:t>
      </w:r>
      <w:r w:rsidRPr="00F17B94">
        <w:rPr>
          <w:rFonts w:ascii="Times New Roman" w:hAnsi="Times New Roman"/>
          <w:color w:val="000000"/>
          <w:sz w:val="28"/>
          <w:szCs w:val="28"/>
          <w:lang w:val="uk-UA"/>
        </w:rPr>
        <w:t>березня</w:t>
      </w:r>
      <w:r w:rsidR="008D3F62" w:rsidRPr="00F17B94">
        <w:rPr>
          <w:rFonts w:ascii="Times New Roman" w:hAnsi="Times New Roman"/>
          <w:color w:val="000000"/>
          <w:sz w:val="28"/>
          <w:szCs w:val="28"/>
          <w:lang w:val="uk-UA"/>
        </w:rPr>
        <w:t xml:space="preserve"> 2019 р.</w:t>
      </w:r>
    </w:p>
    <w:p w:rsidR="00497C3E" w:rsidRPr="00F17B94" w:rsidRDefault="00497C3E" w:rsidP="006C499C">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Заборгованості із виплати заробітної плати працівникам бюджетних установ, які фінансуються за рахунок коштів місцевого бюджету, станом на 01.01.2019 р. по м. Лисичанську відсутня.</w:t>
      </w:r>
    </w:p>
    <w:p w:rsidR="00497C3E" w:rsidRPr="00F17B94" w:rsidRDefault="00497C3E" w:rsidP="00485B04">
      <w:pPr>
        <w:spacing w:after="0" w:line="240" w:lineRule="auto"/>
        <w:ind w:firstLine="709"/>
        <w:jc w:val="both"/>
        <w:outlineLvl w:val="0"/>
        <w:rPr>
          <w:rFonts w:ascii="Times New Roman" w:hAnsi="Times New Roman"/>
          <w:b/>
          <w:i/>
          <w:color w:val="000000"/>
          <w:sz w:val="28"/>
          <w:szCs w:val="28"/>
          <w:lang w:val="uk-UA"/>
        </w:rPr>
      </w:pPr>
      <w:r w:rsidRPr="00F17B94">
        <w:rPr>
          <w:rFonts w:ascii="Times New Roman" w:hAnsi="Times New Roman"/>
          <w:b/>
          <w:i/>
          <w:color w:val="000000"/>
          <w:sz w:val="28"/>
          <w:szCs w:val="28"/>
          <w:lang w:val="uk-UA"/>
        </w:rPr>
        <w:t>Основні проблеми:</w:t>
      </w:r>
    </w:p>
    <w:p w:rsidR="00497C3E" w:rsidRPr="00F17B94" w:rsidRDefault="00497C3E" w:rsidP="00F55038">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наявність заборгованості з виплати заробітної плати;</w:t>
      </w:r>
    </w:p>
    <w:p w:rsidR="00497C3E" w:rsidRPr="00F17B94" w:rsidRDefault="00497C3E" w:rsidP="00F55038">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своєчасне надання державної підтримки за рахунок державного бюджету на виробництво товарної вугільної продукції;</w:t>
      </w:r>
    </w:p>
    <w:p w:rsidR="00497C3E" w:rsidRPr="00F17B94" w:rsidRDefault="00497C3E" w:rsidP="00F55038">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наявність незареєстрованих трудових відносин;</w:t>
      </w:r>
    </w:p>
    <w:p w:rsidR="00497C3E" w:rsidRPr="00F17B94" w:rsidRDefault="00497C3E" w:rsidP="00F55038">
      <w:pPr>
        <w:numPr>
          <w:ilvl w:val="0"/>
          <w:numId w:val="4"/>
        </w:numPr>
        <w:tabs>
          <w:tab w:val="left" w:pos="1276"/>
        </w:tabs>
        <w:spacing w:after="0" w:line="240" w:lineRule="auto"/>
        <w:ind w:left="0"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значна питома вага соціальних допомог та інших поточних трансфертів у структурі доходів населення.</w:t>
      </w:r>
    </w:p>
    <w:p w:rsidR="00497C3E" w:rsidRPr="00F17B94" w:rsidRDefault="00497C3E" w:rsidP="00485B04">
      <w:pPr>
        <w:spacing w:after="0" w:line="240" w:lineRule="auto"/>
        <w:ind w:firstLine="709"/>
        <w:jc w:val="both"/>
        <w:outlineLvl w:val="0"/>
        <w:rPr>
          <w:rFonts w:ascii="Times New Roman" w:hAnsi="Times New Roman"/>
          <w:b/>
          <w:i/>
          <w:color w:val="000000"/>
          <w:sz w:val="28"/>
          <w:szCs w:val="28"/>
          <w:lang w:val="uk-UA"/>
        </w:rPr>
      </w:pPr>
    </w:p>
    <w:p w:rsidR="00497C3E" w:rsidRPr="00F17B94" w:rsidRDefault="00497C3E" w:rsidP="00485B04">
      <w:pPr>
        <w:spacing w:after="0" w:line="240" w:lineRule="auto"/>
        <w:ind w:firstLine="709"/>
        <w:jc w:val="both"/>
        <w:outlineLvl w:val="0"/>
        <w:rPr>
          <w:rFonts w:ascii="Times New Roman" w:hAnsi="Times New Roman"/>
          <w:b/>
          <w:i/>
          <w:color w:val="000000"/>
          <w:sz w:val="28"/>
          <w:szCs w:val="28"/>
          <w:lang w:val="uk-UA"/>
        </w:rPr>
      </w:pPr>
      <w:r w:rsidRPr="00F17B94">
        <w:rPr>
          <w:rFonts w:ascii="Times New Roman" w:hAnsi="Times New Roman"/>
          <w:b/>
          <w:i/>
          <w:color w:val="000000"/>
          <w:sz w:val="28"/>
          <w:szCs w:val="28"/>
          <w:lang w:val="uk-UA"/>
        </w:rPr>
        <w:t xml:space="preserve">Основні пріоритети: </w:t>
      </w:r>
    </w:p>
    <w:p w:rsidR="00497C3E" w:rsidRPr="00F17B94" w:rsidRDefault="00497C3E" w:rsidP="00366D8A">
      <w:pPr>
        <w:spacing w:after="0" w:line="240" w:lineRule="auto"/>
        <w:ind w:firstLine="709"/>
        <w:jc w:val="both"/>
        <w:rPr>
          <w:rFonts w:ascii="Times New Roman" w:hAnsi="Times New Roman"/>
          <w:color w:val="000000"/>
          <w:sz w:val="28"/>
          <w:szCs w:val="28"/>
          <w:lang w:val="uk-UA"/>
        </w:rPr>
      </w:pPr>
      <w:r w:rsidRPr="00F17B94">
        <w:rPr>
          <w:rFonts w:ascii="Times New Roman" w:hAnsi="Times New Roman"/>
          <w:color w:val="000000"/>
          <w:sz w:val="28"/>
          <w:szCs w:val="28"/>
          <w:lang w:val="uk-UA"/>
        </w:rPr>
        <w:t>Забезпечення зростання доходів населення, в тому числі підвищення рівня заробітної плати, зменшення її диференціації, погашення заборгованості з виплати заробітної плати, створення умов для зменшення чисельності малозабезпеченого населення, насамперед працездатного віку.</w:t>
      </w:r>
    </w:p>
    <w:p w:rsidR="00497C3E" w:rsidRPr="00F17B94" w:rsidRDefault="00497C3E" w:rsidP="00485B04">
      <w:pPr>
        <w:spacing w:after="0" w:line="240" w:lineRule="auto"/>
        <w:ind w:firstLine="709"/>
        <w:jc w:val="both"/>
        <w:outlineLvl w:val="0"/>
        <w:rPr>
          <w:rFonts w:ascii="Times New Roman" w:hAnsi="Times New Roman"/>
          <w:b/>
          <w:i/>
          <w:color w:val="000000"/>
          <w:sz w:val="28"/>
          <w:szCs w:val="28"/>
          <w:lang w:val="uk-UA"/>
        </w:rPr>
      </w:pPr>
      <w:r w:rsidRPr="00F17B94">
        <w:rPr>
          <w:rFonts w:ascii="Times New Roman" w:hAnsi="Times New Roman"/>
          <w:b/>
          <w:i/>
          <w:color w:val="000000"/>
          <w:sz w:val="28"/>
          <w:szCs w:val="28"/>
          <w:lang w:val="uk-UA"/>
        </w:rPr>
        <w:t>Основні завдання: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підвищення середньої заробітної плати в бюджетній сфері;</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детінізації заробітної плати шляхом легалізації незареєстрованих виплат заробітної плати, легалізації зайнятості;</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сприяння погашенню заборгованості з виплати заробітної плати за рахунок роботи комісії з питань погашення заборгованості із заробітної плати.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43342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eastAsia="uk-UA"/>
        </w:rPr>
        <w:t xml:space="preserve">середньомісячна заробітна плата у розрахунку на одного штатного </w:t>
      </w:r>
      <w:r w:rsidRPr="002F4F97">
        <w:rPr>
          <w:rFonts w:ascii="Times New Roman" w:hAnsi="Times New Roman"/>
          <w:sz w:val="28"/>
          <w:szCs w:val="28"/>
          <w:lang w:val="uk-UA"/>
        </w:rPr>
        <w:t xml:space="preserve">працівника зросте на </w:t>
      </w:r>
      <w:r>
        <w:rPr>
          <w:rFonts w:ascii="Times New Roman" w:hAnsi="Times New Roman"/>
          <w:sz w:val="28"/>
          <w:szCs w:val="28"/>
          <w:lang w:val="uk-UA"/>
        </w:rPr>
        <w:t>13</w:t>
      </w:r>
      <w:r w:rsidRPr="00C9741D">
        <w:rPr>
          <w:rFonts w:ascii="Times New Roman" w:hAnsi="Times New Roman"/>
          <w:sz w:val="28"/>
          <w:szCs w:val="28"/>
        </w:rPr>
        <w:t>,6</w:t>
      </w:r>
      <w:r w:rsidRPr="002F4F97">
        <w:rPr>
          <w:rFonts w:ascii="Times New Roman" w:hAnsi="Times New Roman"/>
          <w:sz w:val="28"/>
          <w:szCs w:val="28"/>
          <w:lang w:val="uk-UA"/>
        </w:rPr>
        <w:t>%;</w:t>
      </w:r>
    </w:p>
    <w:p w:rsidR="00497C3E" w:rsidRPr="002F4F97" w:rsidRDefault="00497C3E" w:rsidP="0043342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 xml:space="preserve">фонд оплати праці усіх працівників підприємств, установ, організацій по галузях економіки (без малих підприємств) збільшиться на </w:t>
      </w:r>
      <w:r w:rsidRPr="00C9741D">
        <w:rPr>
          <w:rFonts w:ascii="Times New Roman" w:hAnsi="Times New Roman"/>
          <w:sz w:val="28"/>
          <w:szCs w:val="28"/>
        </w:rPr>
        <w:t>6,5</w:t>
      </w:r>
      <w:r w:rsidRPr="002F4F97">
        <w:rPr>
          <w:rFonts w:ascii="Times New Roman" w:hAnsi="Times New Roman"/>
          <w:sz w:val="28"/>
          <w:szCs w:val="28"/>
          <w:lang w:val="uk-UA"/>
        </w:rPr>
        <w:t>%;</w:t>
      </w:r>
    </w:p>
    <w:p w:rsidR="00497C3E" w:rsidRPr="002F4F97" w:rsidRDefault="00497C3E" w:rsidP="00433429">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скорочення чисельності громадян, зайнятих нелегальною працею.</w:t>
      </w:r>
    </w:p>
    <w:p w:rsidR="00497C3E" w:rsidRPr="002F4F97" w:rsidRDefault="00497C3E" w:rsidP="007E6F31">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CB46CA">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Соціальне забезпечення</w:t>
      </w:r>
    </w:p>
    <w:p w:rsidR="00497C3E" w:rsidRPr="002F4F97" w:rsidRDefault="00497C3E" w:rsidP="00C050ED">
      <w:pPr>
        <w:spacing w:after="0" w:line="240" w:lineRule="auto"/>
        <w:ind w:firstLine="709"/>
        <w:jc w:val="both"/>
        <w:rPr>
          <w:rFonts w:ascii="Times New Roman" w:hAnsi="Times New Roman"/>
          <w:sz w:val="28"/>
          <w:szCs w:val="28"/>
          <w:lang w:val="uk-UA"/>
        </w:rPr>
      </w:pP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В місті в рамках єдиної технології соціального захисту населення надається 12 видів державної соціальної допомоги сім’ям з дітьми, які фінансуються за рахунок коштів державного бюджету; 1 одноразова допомога особам, які постраждали від торгівлі людьми, яка фінансується за рахунок державного бюджету; 1 одноразова винагорода жінкам, яким присвоєно почесне звання України «Мати-Героїня», яка фінансується за рахунок державного бюджету; 1 Державна соціальна допомога на дітей-сиріт </w:t>
      </w:r>
      <w:r w:rsidRPr="002F4F97">
        <w:rPr>
          <w:rFonts w:ascii="Times New Roman" w:hAnsi="Times New Roman"/>
          <w:sz w:val="28"/>
          <w:szCs w:val="28"/>
          <w:lang w:val="uk-UA"/>
        </w:rPr>
        <w:lastRenderedPageBreak/>
        <w:t>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яка фінансується за рахунок державного бюджету.</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такою підтримкою скористалися 7,6 тис. осіб на загальну суму 113 227,0 тис. грн., в т.ч.: 111 641,0 тис. грн. допомога сім’ям з дітьми; 31,0 тис. грн. одноразова допомога особам, які постраждали від торгівлі людьми; 18,0 тис. одноразова винагорода жінкам, яким присвоєно почесне звання України «Мати-Героїня»; 1 537,0 тис. грн. державна соціальна допомога на дітей-сиріт та дітей, позбавлених батьківського піклування, грошового забезпечення батькам-вихователям і прийомним батькам за надання соціальних послуг у дитячих будинках сімейного типу та прийомних сім’ях за принципом «гроші ходять за дитиною». Заборгованість по виплатам відсутня.</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житлова субсидія розрахована 21 тисячі домогосподарств на загальну суму 158 061,7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Підприємства, що надають житлово-комунальні послуги отримали фінансування з державного бюджету на загальну суму 202 705,1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Постановою КМУ від 26.04.2017р. № 300 передбачено «монетизацію» частки невикористаної суми субсидії. У 2018 році 2 194 заявника отримали «монетизацію» на загальну суму 1 358,8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451 сім’ї, які для обігріву будинків користуються пічним опаленням, була призначена субсидія на придбання твердого палива у сумі 1 560,5 тис. грн. У 2018 році отримувачам зазначеної субсидії перераховано 1 712,5 тис. грн., в т. ч. заборгованість за 2017 рік у сумі 158,3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на обліку в УПСЗН перебувають 32 752 особи, які мають право на пільги, з них: 267 осіб з інвалідністю внаслідок війни, 1 254 учасника бойових дій, 1 031 учасник війни, 7 660 дітей війни, 9 526 ветеранів праці, 317 багатодітних сімей, 2 732 особи з інвалідністю.</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12 місяців 2018 року за рахунок коштів Державного бюджету 18 підприємствам-надавачам послуг відшкодовані витрати за надані населенню пільги на житлово-комунальні послуги в сумі 15 974,3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Особам, які проживають в будинках з пічним опаленням, надаються пільги на придбання твердого палива та скрапленого балонного газу. За 12 місяців 2018 року за рахунок коштів Державного бюджету зазначену пільгу виплачено 61 пільговику в сумі 107,1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Згідно з діючим законодавством 3078 ветеранам війни та жертвам нацистських переслідувань здійснена виплата щорічної разової грошової допомоги до 5 травня у сумі 3 586,1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за рахунок коштів місцевого бюджету надані пільги:</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31 особі з інвалідністю по зору на абонплату за користування телефоном в сумі 12,8 тис. грн.;</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19 Почесним громадянам міста Лисичанська на оплату житлово-комунальних послуг в сумі 127,1 тис. грн.;</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5 сім’ям загиблих воїнів інтернаціоналістів та учасників АТО на оплату житлово-комунальних послуг в сумі 25,6 тис. грн.;</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44 особам з інвалідністю внаслідок війни та учасників бойових дій, які мають пічне опалення, на придбання додатково 1 тонни твердого палива та 1 балону скрапленого газу на побутові потреби на загальну суму 85,0 тис. грн.;</w:t>
      </w:r>
    </w:p>
    <w:p w:rsidR="00497C3E" w:rsidRPr="002F4F97" w:rsidRDefault="00497C3E" w:rsidP="0005215F">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 оплати послуг зв’язку пільговим категоріям громадян в сумі 42,6 тис. грн. Перераховано ПАТ «Укртелеком» 120,6 тис. грн. з урахуванням виплати заборгованості за 2017 рік.</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2018 рік за рахунок коштів місцевого бюджету відшкодовані витрати за пільговий проїзд залізничним транспортом окремим категоріям громадян, які мають на це право згідно з діючим законодавством, в сумі 203,3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Крім того з місцевого бюджету виділені кошти для надання матеріальної допомоги мешканцям міст Лисичанськ, Новодружеськ, Привілля, які опинилися у складних життєвих обставинах і вимагають додаткового соціального захисту, а також на поховання деяких категорій громадян. За 2018 рік допомогу отримали 520 осіб на загальну суму 409,2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Також за рахунок коштів з місцевого бюджету була виплачена компенсація 263 фізичним особам, які надають соціальні послуги в сумі 604,7 тис. грн., матеріальна допомога 1 сім’ї, яка втратила годувальника із числа ліквідаторів аварії на ЧАЕС, потерпілих та евакуйованих у сумі 2,0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за рахунок коштів місцевого бюджету виконані роботи з капітального ремонту житлових будинків і квартир 4 особам з інвалідністю внаслідок війни, що мають право на таку пільгу на суму 91,1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Виплати, що здійснюються за рахунок коштів місцевого бюджету, фінансуються своєчасно і в повному обсязі.</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Відповідно до постанови КМУ від 28.12.2016 № 1045 «Деякі питання виплати соціальних стипендій студентам (курсантам) вищих навчальних закладів» з 01.01.2017 запроваджено виплату соціальних стипендій за рахунок коштів Державного бюджету окремим категоріям студентам вищих навчальних закладів I-IV рівнів акредитації. За 2018 рік 4 навчальним закладам міста перераховані кошти на виплату соціальної стипендії в сумі 2 094,9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року на обліку в УПСЗН перебуває 16 905 внутрішньо переміщених осіб. Згідно з Порядком, затвердженим Постановою КМУ від 01.10.2014 № 505 за рахунок коштів Державного бюджету 1 366 сім’ям надана щомісячна адресна допомога внутрішньо переміщеним особам для покриття витрат на проживання, в тому числі на оплату житлово-комунальних послуг на загальну суму 18 160,9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сьогоднішній день в нашому місті мешкає більше 5 тисяч людей з інвалідністю, з них більше 200 осіб, які рухаються тільки за допомогою візків, та 312 – діти з інвалідністю віком до 18 років.</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Станом на 01.01.2019 року на обліку в управлінні праці та соціального захисту населення для забезпечення технічними та іншими засобами реабілітації перебувають 1 980 осіб, у тому числі 120 дітей з інвалідністю.</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особам з інвалідністю та іншим окремим категоріям громадян, з урахуванням їх індивідуальних потреб, надано 472 направлення для виготовлення 1 260 протезно-ортопедичних виробів і ортопедичного взуття та 231 направлення на виготовлення 242 технічних засобів реабілітації.</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укладено 104 договори на забезпечення технічними засобами реабілітації та протезно-ортопедичними виробами осіб з інвалідністю, дітей з інвалідністю та інших осіб на суму 3 028,4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укладено 39 договорів на отримання послуг із санаторно-курортного лікування особами з інвалідністю загального захворювання на суму 363,4 тис. грн. Крім цього, 26 ветеранів війни та 52 особи з інвалідністю отримали санаторно-курортне лікування в санаторіях Міністерства соціальної політики України.</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за рахунок коштів державного бюджету 72 особам з інвалідністю та непрацюючим малозабезпеченим громадянам виплачена матеріальна допомога на суму 50,5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рахунок коштів обласного бюджету виплачена компенсація витрат на поховання осіб з інвалідністю внаслідок війни та учасників бойових дій 12 громадянам на суму 28,3 тис. грн. та компенсація на бензин, ремонт та технічне обслуговування автомобілів та на транспортне обслуговування 80 особам з інвалідністю на суму 28,7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містах Лисичанськ, Новодружеськ і Привілля станом на 01.01.2019 р. мешкає 640 осіб, які постраждали внаслідок Чорнобильської катастрофи. За рахунок коштів Державного бюджету на виплату грошової компенсації за пільгове забезпечення продуктами харчування громадян, які постраждали внаслідок Чорнобильської катастрофи перераховано 1 496,6 тис. грн., на виплату компенсації на оздоровлення громадянам, які постраждали внаслідок Чорнобильської катастрофи перераховано 55,9 тис. грн. За рахунок коштів обласного бюджету громадянами, які постраждали внаслідок аварії на ЧАЕС, отримані пільги з медичного обслуговування у сумі 410,3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Підприємствам міста відшкодовано витрати за надання щорічної та додаткової відпустки громадянам, які постраждали внаслідок Чорнобильської катастрофи, на загальну суму 96,1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укладено 37 договорів на забезпечення санаторно-курортним лікуванням осіб, які постраждали внаслідок ЧК віднесених до I категорії та виплачена компенсація за невикористане санаторно-курортне лікування одній особі на загальну суму 252,9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Станом на 01.01.2019 року на обліку в Єдиному державному автоматизованому реєстрі пільговиків перебувають 7 інвалідів війни І, ІІ і ІІІ групи, 606 учасників бойових дій і 10 учасника війни з числа учасників АТО, та 9 членів сімей загиблих учасників АТО.</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Соціальний захист учасників антитерористичної операції та членів їх сімей проводиться в рамках Комплексної міської програми соціальної підтримки учасників антитерористичної операції та членів їх сімей на 2017-2019 роки.</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2018 році 6 учасників бойових дій були забезпечені санаторно-курортним лікуванням на суму 49,1 тис. грн., 3 учасника бойових дій з числа учасників АТО отримали послуги з професійної адаптації (навчання водіїв транспортних засобів) на суму 24,6 тис. грн.</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Матеріальна допомога військовослужбовцям, звільненим з військової строкової служби (постанова КМУ від 8 квітня 2015 року № 185) протягом 2018 року профінансована управлінням на загальну суму 112,1 тис. грн. 33 громадянам. Матеріальна допомога виплачувалась за рахунок бюджетних коштів, передбачених Законом України «Про Державний бюджет України на 2018 рік».</w:t>
      </w:r>
    </w:p>
    <w:p w:rsidR="00497C3E" w:rsidRPr="002F4F97" w:rsidRDefault="00497C3E" w:rsidP="0005215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Протягом 2018 року виплати безробітним за рахунок коштів Фонду загальнообов’язкового державного соціального страхування на випадок безробіття склали всього 14 862. тис. грн., в тому числі допомога по безробіттю – 14 656 тис. грн., виплати на організацію та проведення громадських робіт – 400 тис. грн., одноразова виплата допомоги по безробіттю для організації безробітним підприємницької діяльності – 212 тис. грн., компенсація єдиного соціального внеску – 417 тис. грн.</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недосконалість системи надання соціальних пільг;</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недостатній обсяг встановленої норми на тверде паливо та скраплений газ для пільгових категорій населення;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недостатній обсяг фінансування програм та субвенцій соціального захисту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своєчасного надання усіх видів соціальної допомоги та пільг громадянам, які мають на це право згідно з чинним законодавством;</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посилення цільової спрямованості соціальних програм.</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соціального захисту окремих категорій населення в частині надання пільг, субсидій та інших соціальних виплат;</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реалізація заходів місцевих комплексних і цільових програм соціального захисту населення;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соціальної інтеграції інвалідів, сприяння створенню умов для безперешкодного доступу інвалідів до об’єктів соціальної інфраструктури;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підтримка та адаптація внутрішньо переміщених осіб.</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своєчасності виплати отримувачам соціальної допомоги, поліпшення якості їх життя;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посилення соціального забезпечення малозахищених верст населення;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отримання громадянами, які постраждали внаслідок Чорнобильської катастрофи, ветеранами війни та особами з інвалідністю послуг із санаторно-курортного лікування;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осіб з інвалідністю протезно-ортопедичними виробами і технічними та іншими засобами реабілітації.</w:t>
      </w:r>
    </w:p>
    <w:p w:rsidR="00497C3E" w:rsidRPr="002F4F97" w:rsidRDefault="00497C3E" w:rsidP="007E6F31">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FA7B05">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Пенсійне забезпечення</w:t>
      </w:r>
    </w:p>
    <w:p w:rsidR="00497C3E" w:rsidRPr="002F4F97" w:rsidRDefault="00497C3E" w:rsidP="00FA7B05">
      <w:pPr>
        <w:spacing w:after="0" w:line="240" w:lineRule="auto"/>
        <w:ind w:firstLine="709"/>
        <w:jc w:val="both"/>
        <w:rPr>
          <w:rFonts w:ascii="Times New Roman" w:hAnsi="Times New Roman"/>
          <w:sz w:val="28"/>
          <w:szCs w:val="28"/>
          <w:lang w:val="uk-UA"/>
        </w:rPr>
      </w:pPr>
    </w:p>
    <w:p w:rsidR="00497C3E" w:rsidRPr="002F4F97" w:rsidRDefault="00497C3E" w:rsidP="00FA7B0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Середній розмір пенсії по місту станом на 01.01.2019 складає 3 456 грн., що на 2,02% більше аналогічного показника на 01.01.2018. Заборгованість з виплати пенсій відсутня.</w:t>
      </w:r>
    </w:p>
    <w:p w:rsidR="00497C3E" w:rsidRPr="002F4F97" w:rsidRDefault="00497C3E" w:rsidP="00FA7B0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даними Управління ПФУ в м. Лисичанську на 01.01.2019 показники складають:</w:t>
      </w:r>
    </w:p>
    <w:p w:rsidR="00497C3E" w:rsidRPr="002F4F97" w:rsidRDefault="00497C3E" w:rsidP="00FA7B05">
      <w:pPr>
        <w:spacing w:after="0" w:line="240" w:lineRule="auto"/>
        <w:ind w:firstLine="709"/>
        <w:jc w:val="both"/>
        <w:rPr>
          <w:rFonts w:ascii="Times New Roman" w:hAnsi="Times New Roman"/>
          <w:sz w:val="28"/>
          <w:szCs w:val="28"/>
          <w:lang w:val="uk-UA"/>
        </w:rPr>
      </w:pPr>
    </w:p>
    <w:tbl>
      <w:tblPr>
        <w:tblW w:w="0" w:type="auto"/>
        <w:jc w:val="center"/>
        <w:tblInd w:w="108" w:type="dxa"/>
        <w:tblLook w:val="0000" w:firstRow="0" w:lastRow="0" w:firstColumn="0" w:lastColumn="0" w:noHBand="0" w:noVBand="0"/>
      </w:tblPr>
      <w:tblGrid>
        <w:gridCol w:w="4342"/>
        <w:gridCol w:w="1715"/>
        <w:gridCol w:w="1715"/>
        <w:gridCol w:w="1691"/>
      </w:tblGrid>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jc w:val="center"/>
              <w:rPr>
                <w:rStyle w:val="212pt"/>
              </w:rPr>
            </w:pPr>
            <w:r w:rsidRPr="002F4F97">
              <w:rPr>
                <w:rStyle w:val="212pt"/>
              </w:rPr>
              <w:t>Показник</w:t>
            </w:r>
          </w:p>
        </w:tc>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jc w:val="center"/>
              <w:rPr>
                <w:rStyle w:val="212pt"/>
              </w:rPr>
            </w:pPr>
            <w:r w:rsidRPr="002F4F97">
              <w:rPr>
                <w:rStyle w:val="212pt"/>
              </w:rPr>
              <w:t>на 1 січня 2018 р.</w:t>
            </w:r>
          </w:p>
        </w:tc>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jc w:val="center"/>
              <w:rPr>
                <w:rStyle w:val="212pt"/>
              </w:rPr>
            </w:pPr>
            <w:r w:rsidRPr="002F4F97">
              <w:rPr>
                <w:rStyle w:val="212pt"/>
              </w:rPr>
              <w:t>на 1 січня 2019 р.</w:t>
            </w:r>
          </w:p>
        </w:tc>
        <w:tc>
          <w:tcPr>
            <w:tcW w:w="0" w:type="auto"/>
            <w:tcBorders>
              <w:top w:val="single" w:sz="4" w:space="0" w:color="000000"/>
              <w:left w:val="single" w:sz="4" w:space="0" w:color="000000"/>
              <w:bottom w:val="single" w:sz="4" w:space="0" w:color="000000"/>
              <w:right w:val="single" w:sz="4" w:space="0" w:color="000000"/>
            </w:tcBorders>
            <w:vAlign w:val="center"/>
          </w:tcPr>
          <w:p w:rsidR="00497C3E" w:rsidRPr="002F4F97" w:rsidRDefault="00497C3E" w:rsidP="009026D1">
            <w:pPr>
              <w:pStyle w:val="22"/>
              <w:shd w:val="clear" w:color="auto" w:fill="auto"/>
              <w:spacing w:line="240" w:lineRule="auto"/>
              <w:ind w:firstLine="0"/>
              <w:jc w:val="center"/>
              <w:rPr>
                <w:rStyle w:val="212pt"/>
                <w:szCs w:val="24"/>
              </w:rPr>
            </w:pPr>
            <w:r w:rsidRPr="002F4F97">
              <w:rPr>
                <w:rStyle w:val="212pt"/>
              </w:rPr>
              <w:t>2019 р. (прогноз)</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Кількість одержувачів пенсій (осіб)</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42219</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39214</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37788</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 у тому числі переселенців (осіб)</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6485</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4868</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3512</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Середній розмір пенсії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3387,73</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3456,00</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4063,10</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Заборгованість з виплати пенсій,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0</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0</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0</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Річна потреба на виплату пенсій, тис.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1337558,8</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1758562,2</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1842430,6</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Власні надходження до Пенсійного фонду, тис.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15149,5</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18612,3</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20098,3</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Власні надходження до ПФУ у відсотках до потреби</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1,13</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1,06</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1,09</w:t>
            </w:r>
          </w:p>
        </w:tc>
      </w:tr>
      <w:tr w:rsidR="00497C3E" w:rsidRPr="002F4F97" w:rsidTr="009026D1">
        <w:trPr>
          <w:trHeight w:val="20"/>
          <w:jc w:val="center"/>
        </w:trPr>
        <w:tc>
          <w:tcPr>
            <w:tcW w:w="0" w:type="auto"/>
            <w:tcBorders>
              <w:top w:val="single" w:sz="4" w:space="0" w:color="000000"/>
              <w:left w:val="single" w:sz="4" w:space="0" w:color="000000"/>
              <w:bottom w:val="single" w:sz="4" w:space="0" w:color="000000"/>
            </w:tcBorders>
            <w:vAlign w:val="center"/>
          </w:tcPr>
          <w:p w:rsidR="00497C3E" w:rsidRPr="002F4F97" w:rsidRDefault="00497C3E" w:rsidP="009026D1">
            <w:pPr>
              <w:pStyle w:val="22"/>
              <w:shd w:val="clear" w:color="auto" w:fill="auto"/>
              <w:spacing w:line="240" w:lineRule="auto"/>
              <w:ind w:firstLine="0"/>
              <w:rPr>
                <w:rStyle w:val="212pt"/>
              </w:rPr>
            </w:pPr>
            <w:r w:rsidRPr="002F4F97">
              <w:rPr>
                <w:rStyle w:val="212pt"/>
              </w:rPr>
              <w:t>Загальна сума заборгованості платників міста, тис. грн.</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441117,0</w:t>
            </w:r>
          </w:p>
        </w:tc>
        <w:tc>
          <w:tcPr>
            <w:tcW w:w="0" w:type="auto"/>
            <w:tcBorders>
              <w:top w:val="single" w:sz="4" w:space="0" w:color="000000"/>
              <w:left w:val="single" w:sz="4" w:space="0" w:color="000000"/>
              <w:bottom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rPr>
            </w:pPr>
            <w:r w:rsidRPr="002F4F97">
              <w:rPr>
                <w:rStyle w:val="212pt"/>
              </w:rPr>
              <w:t>503494,5</w:t>
            </w:r>
          </w:p>
        </w:tc>
        <w:tc>
          <w:tcPr>
            <w:tcW w:w="0" w:type="auto"/>
            <w:tcBorders>
              <w:top w:val="single" w:sz="4" w:space="0" w:color="000000"/>
              <w:left w:val="single" w:sz="4" w:space="0" w:color="000000"/>
              <w:bottom w:val="single" w:sz="4" w:space="0" w:color="000000"/>
              <w:right w:val="single" w:sz="4" w:space="0" w:color="000000"/>
            </w:tcBorders>
            <w:vAlign w:val="bottom"/>
          </w:tcPr>
          <w:p w:rsidR="00497C3E" w:rsidRPr="002F4F97" w:rsidRDefault="00497C3E" w:rsidP="009026D1">
            <w:pPr>
              <w:pStyle w:val="22"/>
              <w:shd w:val="clear" w:color="auto" w:fill="auto"/>
              <w:spacing w:line="240" w:lineRule="auto"/>
              <w:ind w:firstLine="0"/>
              <w:jc w:val="right"/>
              <w:rPr>
                <w:rStyle w:val="212pt"/>
                <w:szCs w:val="24"/>
              </w:rPr>
            </w:pPr>
            <w:r w:rsidRPr="002F4F97">
              <w:rPr>
                <w:rStyle w:val="212pt"/>
              </w:rPr>
              <w:t>558328,3</w:t>
            </w:r>
          </w:p>
        </w:tc>
      </w:tr>
    </w:tbl>
    <w:p w:rsidR="00497C3E" w:rsidRPr="002F4F97" w:rsidRDefault="00497C3E" w:rsidP="009026D1">
      <w:pPr>
        <w:pStyle w:val="22"/>
        <w:shd w:val="clear" w:color="auto" w:fill="auto"/>
        <w:spacing w:line="240" w:lineRule="auto"/>
        <w:ind w:firstLine="0"/>
        <w:jc w:val="left"/>
        <w:rPr>
          <w:rStyle w:val="212pt"/>
          <w:szCs w:val="24"/>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DA052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Наявність боргу підприємств, установ та організацій зі сплати страхових внесків до Пенсійного фонду та боргу з єдиного соціального внеску на загальнообов’язкове державне страхування.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DA052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Своєчасне наповнення бюджету Пенсійного фонду для сталої та своєчасної виплати пенсій та грошової допомоги, підвищення рівня пенсійного забезпечення.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в повному обсязі поточного надходження коштів до бюджету Пенсійного фонду України та фінансування витрат на виплату пенсій і допомоги;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посилення контролю з боку органів місцевої влади за погашенням підприємствами комунальної форми власності заборгованості по страхових внесках до Пенсійного фонду України та єдиного соціального внеску.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lastRenderedPageBreak/>
        <w:t>Очікувані результати:</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відсутність порушень вимог пенсійного законодавства та законодавства про оплату праці;</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поліпшення платіжної дисципліни роботодавців;</w:t>
      </w:r>
    </w:p>
    <w:p w:rsidR="00497C3E" w:rsidRPr="002F4F97"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зростання середнього розміру пенсій до рівня 4063,10 грн.;</w:t>
      </w:r>
    </w:p>
    <w:p w:rsidR="00497C3E" w:rsidRDefault="00497C3E" w:rsidP="00F55038">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своєчасна та в повному обсязі виплата призначених пенсій та допомоги пенсіонерам міста.</w:t>
      </w:r>
    </w:p>
    <w:p w:rsidR="00497C3E" w:rsidRPr="002F4F97" w:rsidRDefault="00497C3E" w:rsidP="009778F5">
      <w:pPr>
        <w:tabs>
          <w:tab w:val="left" w:pos="1276"/>
        </w:tabs>
        <w:spacing w:after="0" w:line="240" w:lineRule="auto"/>
        <w:ind w:left="709"/>
        <w:jc w:val="both"/>
        <w:rPr>
          <w:rFonts w:ascii="Times New Roman" w:hAnsi="Times New Roman"/>
          <w:sz w:val="28"/>
          <w:szCs w:val="28"/>
          <w:lang w:val="uk-UA"/>
        </w:rPr>
      </w:pPr>
    </w:p>
    <w:p w:rsidR="00497C3E" w:rsidRPr="002F4F97" w:rsidRDefault="00497C3E" w:rsidP="00B53108">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Житлово-комунальне господарство</w:t>
      </w:r>
    </w:p>
    <w:p w:rsidR="00497C3E" w:rsidRPr="002F4F97" w:rsidRDefault="00497C3E" w:rsidP="00907167">
      <w:pPr>
        <w:spacing w:after="0" w:line="240" w:lineRule="auto"/>
        <w:ind w:firstLine="709"/>
        <w:jc w:val="both"/>
        <w:rPr>
          <w:rFonts w:ascii="Times New Roman" w:hAnsi="Times New Roman"/>
          <w:sz w:val="28"/>
          <w:szCs w:val="28"/>
          <w:lang w:val="uk-UA"/>
        </w:rPr>
      </w:pPr>
    </w:p>
    <w:p w:rsidR="00497C3E" w:rsidRPr="002F4F97" w:rsidRDefault="00497C3E" w:rsidP="0090716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Житлово-комунальне господарство м. Лисичанська – це галузь, яка забезпечує першочергові потреби населення та суттєво впливає на створення необхідних умов для функціонування всього міста.</w:t>
      </w:r>
    </w:p>
    <w:p w:rsidR="00497C3E" w:rsidRPr="002F4F97" w:rsidRDefault="00497C3E" w:rsidP="00105F15">
      <w:pPr>
        <w:pStyle w:val="af1"/>
        <w:spacing w:before="0" w:beforeAutospacing="0" w:after="0" w:afterAutospacing="0"/>
        <w:ind w:firstLine="709"/>
        <w:jc w:val="both"/>
        <w:textAlignment w:val="baseline"/>
        <w:rPr>
          <w:sz w:val="28"/>
          <w:szCs w:val="28"/>
          <w:lang w:val="uk-UA"/>
        </w:rPr>
      </w:pPr>
      <w:r w:rsidRPr="002F4F97">
        <w:rPr>
          <w:sz w:val="28"/>
          <w:szCs w:val="28"/>
          <w:lang w:val="uk-UA"/>
        </w:rPr>
        <w:t>Ж</w:t>
      </w:r>
      <w:r w:rsidRPr="002F4F97">
        <w:rPr>
          <w:color w:val="000000"/>
          <w:sz w:val="28"/>
          <w:szCs w:val="28"/>
          <w:lang w:val="uk-UA"/>
        </w:rPr>
        <w:t xml:space="preserve">итловий фонд міст Лисичанська, Новодружеська, Привілля налічує 1132 житлових будинки, загальною площею </w:t>
      </w:r>
      <w:r w:rsidRPr="002F4F97">
        <w:rPr>
          <w:sz w:val="28"/>
          <w:szCs w:val="28"/>
          <w:lang w:val="uk-UA"/>
        </w:rPr>
        <w:t>1638,59 тис. м</w:t>
      </w:r>
      <w:r w:rsidRPr="002F4F97">
        <w:rPr>
          <w:sz w:val="28"/>
          <w:szCs w:val="28"/>
          <w:vertAlign w:val="superscript"/>
          <w:lang w:val="uk-UA"/>
        </w:rPr>
        <w:t>2.</w:t>
      </w:r>
      <w:r w:rsidRPr="002F4F97">
        <w:rPr>
          <w:sz w:val="28"/>
          <w:szCs w:val="28"/>
          <w:lang w:val="uk-UA"/>
        </w:rPr>
        <w:t>, з яких 720 – це багатоквартирні будинки 2 та більше поверхів.</w:t>
      </w:r>
    </w:p>
    <w:p w:rsidR="00497C3E" w:rsidRPr="002F4F97" w:rsidRDefault="00497C3E" w:rsidP="00105F1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забезпечення та реалізації прав співвласників багатоквартирних будинків на самостійне управління житловими будинками співвласниками багатоквартирних будинків міст Лисичанська, Новодружеська, Привілля станом на 01.11.2018 створено 6 об’єднань співвласників багатоквартирних будинків, які самостійно здійснюють управління житловими будинками, 3 житлові будинки є житлово-будівельними кооперативами, а співвласники 5 малоквартирних будинків обрали форму управління будинком – самоуправління. У 2018 році відповідно до норм чинного законодавства України та з метою дотримання вимог в сфері застосування конкурсних засад при наданні житлово-комунальних послуг в містах Лисичанську, Новодружеську, Привіллі проведений конкурс з визначення управителя багатоквартирних будинків та рішенням виконавчого комітету Лисичанської міської ради призначені управителі 720 багатоквартирних будинків. На теперішній час житлові послуги ме</w:t>
      </w:r>
      <w:r w:rsidR="003210E3">
        <w:rPr>
          <w:rFonts w:ascii="Times New Roman" w:hAnsi="Times New Roman"/>
          <w:sz w:val="28"/>
          <w:szCs w:val="28"/>
          <w:lang w:val="uk-UA"/>
        </w:rPr>
        <w:t>шканцям – послуги з управління</w:t>
      </w:r>
      <w:r w:rsidRPr="002F4F97">
        <w:rPr>
          <w:rFonts w:ascii="Times New Roman" w:hAnsi="Times New Roman"/>
          <w:sz w:val="28"/>
          <w:szCs w:val="28"/>
          <w:lang w:val="uk-UA"/>
        </w:rPr>
        <w:t xml:space="preserve"> надають п’ять комунальних житлово-експлуатаційних підприємств міста.</w:t>
      </w:r>
    </w:p>
    <w:p w:rsidR="00497C3E" w:rsidRPr="002F4F97" w:rsidRDefault="00497C3E" w:rsidP="00105F15">
      <w:pPr>
        <w:pStyle w:val="HTML"/>
        <w:shd w:val="clear" w:color="auto" w:fill="FFFFFF"/>
        <w:ind w:firstLine="709"/>
        <w:jc w:val="both"/>
        <w:rPr>
          <w:rFonts w:ascii="Times New Roman" w:hAnsi="Times New Roman"/>
          <w:sz w:val="28"/>
          <w:szCs w:val="28"/>
          <w:lang w:val="uk-UA"/>
        </w:rPr>
      </w:pPr>
      <w:r w:rsidRPr="002F4F97">
        <w:rPr>
          <w:rFonts w:ascii="Times New Roman" w:hAnsi="Times New Roman"/>
          <w:sz w:val="28"/>
          <w:szCs w:val="28"/>
          <w:lang w:val="uk-UA"/>
        </w:rPr>
        <w:t>Згідно з чинним законодавством України комунальні житлово-експлуатаційні підприємства, які раніше надавали послуги з утримання житлових будинків та прибудинкових територій та на теперішній час надають житлові послуги-послуги з управління, проводять роботи лише з утримання та поточних ремонтів спільного майна багатоквартирних будинків. Джерелом надходження коштів на рахунки комунальних підприємства «ЛЖЕК №№ 1, 3, 5, 6, 8» є оплата мешканців житлових будинків за отримані житлові послуги, рівень оплати яких становить 60-70%</w:t>
      </w:r>
      <w:r w:rsidRPr="002F4F97">
        <w:rPr>
          <w:rFonts w:ascii="Times New Roman" w:hAnsi="Times New Roman"/>
          <w:color w:val="FF0000"/>
          <w:sz w:val="28"/>
          <w:szCs w:val="28"/>
          <w:lang w:val="uk-UA"/>
        </w:rPr>
        <w:t xml:space="preserve"> </w:t>
      </w:r>
      <w:r w:rsidRPr="002F4F97">
        <w:rPr>
          <w:rFonts w:ascii="Times New Roman" w:hAnsi="Times New Roman"/>
          <w:sz w:val="28"/>
          <w:szCs w:val="28"/>
          <w:lang w:val="uk-UA"/>
        </w:rPr>
        <w:t xml:space="preserve">від нарахувань, що значно ускладнює роботу житлово-експлуатаційних комунальних підприємства, основними завданнями яких є проведення поточних ремонтів, утримання спільного майна багатоквартирних будинків з метою збереження житлового фонду, підготовка будинків до сталого проходження опалювального періоду, забезпечення належних умов </w:t>
      </w:r>
      <w:r w:rsidRPr="002F4F97">
        <w:rPr>
          <w:rFonts w:ascii="Times New Roman" w:hAnsi="Times New Roman"/>
          <w:sz w:val="28"/>
          <w:szCs w:val="28"/>
          <w:lang w:val="uk-UA"/>
        </w:rPr>
        <w:lastRenderedPageBreak/>
        <w:t>проживання громадян. Розташування підприємств в зоні безпосередньої близькості лінії розмежування, низька платоспроможність населення, відтік його за межи міста, зростання кількості покинутого житла – всі ці фактори негативно впливають на фінансовий стан підприємств. Крім того, причиною погіршення фінансового стану КП «ЛЖЕК № 1, 3, 5, 6, 8» була дія економічно необґрунтованих тарифів до 01.12.2017 року, які не відшкодовувалися підприємствам в повному обсязі у зв’язку з обмеженими можливостями місцевого бюджету. Динаміка змін заборгованості населення за житлово-комунальні послуги та за послуги з утримання будинків і споруд та прибудинкових територій відображено на рисунку.</w:t>
      </w:r>
    </w:p>
    <w:p w:rsidR="00497C3E" w:rsidRPr="002F4F97" w:rsidRDefault="00497C3E" w:rsidP="00105F15">
      <w:pPr>
        <w:pStyle w:val="HTML"/>
        <w:shd w:val="clear" w:color="auto" w:fill="FFFFFF"/>
        <w:ind w:firstLine="709"/>
        <w:jc w:val="both"/>
        <w:rPr>
          <w:rFonts w:ascii="Times New Roman" w:hAnsi="Times New Roman"/>
          <w:sz w:val="28"/>
          <w:szCs w:val="28"/>
          <w:lang w:val="uk-UA"/>
        </w:rPr>
      </w:pPr>
    </w:p>
    <w:p w:rsidR="00497C3E" w:rsidRPr="002F4F97" w:rsidRDefault="00523E5C" w:rsidP="00105F15">
      <w:pPr>
        <w:spacing w:after="0" w:line="240" w:lineRule="auto"/>
        <w:jc w:val="both"/>
        <w:rPr>
          <w:rFonts w:ascii="Times New Roman" w:hAnsi="Times New Roman"/>
          <w:sz w:val="28"/>
          <w:szCs w:val="28"/>
          <w:lang w:val="uk-UA"/>
        </w:rPr>
      </w:pPr>
      <w:r>
        <w:rPr>
          <w:noProof/>
          <w:lang w:val="en-US"/>
        </w:rPr>
        <w:pict>
          <v:shape id="Диаграмма 2" o:spid="_x0000_i1033" type="#_x0000_t75" style="width:468.75pt;height:30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">
            <v:imagedata r:id="rId12" o:title=""/>
            <o:lock v:ext="edit" aspectratio="f"/>
          </v:shape>
        </w:pict>
      </w:r>
    </w:p>
    <w:p w:rsidR="00497C3E" w:rsidRPr="002F4F97" w:rsidRDefault="00497C3E" w:rsidP="00105F15">
      <w:pPr>
        <w:spacing w:after="0" w:line="240" w:lineRule="auto"/>
        <w:jc w:val="both"/>
        <w:rPr>
          <w:rFonts w:ascii="Times New Roman" w:hAnsi="Times New Roman"/>
          <w:sz w:val="28"/>
          <w:szCs w:val="28"/>
          <w:lang w:val="uk-UA"/>
        </w:rPr>
      </w:pPr>
    </w:p>
    <w:p w:rsidR="00497C3E" w:rsidRPr="002F4F97" w:rsidRDefault="00497C3E" w:rsidP="004A7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Внаслідок тривалого терміну експлуатації, під дією природно-кліматичних факторів та механічних пошкоджень будівельні конструктиви (покрівлі, стінові блоки, навісні конструкції, внутрішньобудинкові інженерні системи та інше) зношуються та потребують проведення ремонтних робіт, а на деяких об’єктах житлового фонду і проведення відновлювальних робіт. </w:t>
      </w:r>
      <w:r w:rsidRPr="002F4F97">
        <w:rPr>
          <w:rStyle w:val="af0"/>
          <w:rFonts w:ascii="Times New Roman" w:hAnsi="Times New Roman"/>
          <w:b w:val="0"/>
          <w:bCs/>
          <w:sz w:val="28"/>
          <w:szCs w:val="28"/>
          <w:lang w:val="uk-UA"/>
        </w:rPr>
        <w:t>Фізичне та моральне старіння конструкцій та внутрішньобудинкових мереж житлових будинків стало головною причиною погіршення комфортності умов проживання мешканців міста.</w:t>
      </w:r>
    </w:p>
    <w:p w:rsidR="00497C3E" w:rsidRPr="002F4F97" w:rsidRDefault="00497C3E" w:rsidP="004A7A1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Невідповідність між санітарно-технічними вимогами до житлових будинків та їх фактичним станом поступово зростає. Нестача власних та бюджетних фінансових ресурсів, відсутність механізмів залучення позабюджетних коштів гальмує технічне переоснащення житлового фонду, що стало причиною погіршення технічного стану основних фондів, збільшення питомих витрат матеріальних та енергетичних ресурсів, що в </w:t>
      </w:r>
      <w:r w:rsidRPr="002F4F97">
        <w:rPr>
          <w:rFonts w:ascii="Times New Roman" w:hAnsi="Times New Roman"/>
          <w:sz w:val="28"/>
          <w:szCs w:val="28"/>
          <w:lang w:val="uk-UA"/>
        </w:rPr>
        <w:lastRenderedPageBreak/>
        <w:t>свою чергу негативно впливає на рівень та якість житлових послуг, які надаються населенню.</w:t>
      </w:r>
    </w:p>
    <w:p w:rsidR="00497C3E" w:rsidRPr="002F4F97" w:rsidRDefault="00497C3E" w:rsidP="004A7A19">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складі багатоквартирного житлового фонду налічується 86 десяти- та дев’ятиповерхові житлові будинки, які оснащені пасажирськими ліфтами, термін експлуатації зазначених будинків становить понад 30 років, а окремих будинків – понад 40 років. Пасажирські ліфти багатоквартирних будинків належать до об’єктів підвищеної небезпеки та потребують належного фінансування для забезпечення їх надійної та безпечної експлуатації – проведення своєчасного технічне обслуговування, поточних та капітальних ремонтів, технічних оглядів, експертних обстежень. Найбільшою проблемою є відновлення 83 пасажирських ліфтів, які не працюють тривалий час та відновлення яких потребує залучення значних фінансових надходжень. Невирішення зазначеного питання впродовж тривалого часу погіршує умови проживання мешканців багатоповерхових будинків, серед яких значну частину складають особи похилого віку, молоді сім’ї з дітьми, особи з обмеженими фізичними можливостями, що призводить до зростання соціальної напруги серед мешканців міста.</w:t>
      </w:r>
    </w:p>
    <w:p w:rsidR="00497C3E" w:rsidRPr="002F4F97" w:rsidRDefault="00497C3E" w:rsidP="00FE092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місті 201 вулиця і автодорога, 80% з них вимагають термінового капітального та поточного ремонту. З 107 тротуарів і пішохідних доріжок 70% мають пошкоджене покриття. Мости і шляхопроводи не відповідають нормам експлуатації та потребують термінового ремонту.</w:t>
      </w:r>
    </w:p>
    <w:p w:rsidR="00497C3E" w:rsidRPr="00CE084A" w:rsidRDefault="00497C3E" w:rsidP="00FE092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Виходячи з діючих нормативів, щорічно у місті необхідно проводити капітальний ремонт 120,1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доріг орієнтовною вартістю 72,0</w:t>
      </w:r>
      <w:r w:rsidRPr="002F4F97">
        <w:rPr>
          <w:rFonts w:ascii="Times New Roman" w:hAnsi="Times New Roman"/>
          <w:color w:val="FF0000"/>
          <w:sz w:val="28"/>
          <w:szCs w:val="28"/>
          <w:lang w:val="uk-UA"/>
        </w:rPr>
        <w:t xml:space="preserve"> </w:t>
      </w:r>
      <w:r w:rsidRPr="002F4F97">
        <w:rPr>
          <w:rFonts w:ascii="Times New Roman" w:hAnsi="Times New Roman"/>
          <w:sz w:val="28"/>
          <w:szCs w:val="28"/>
          <w:lang w:val="uk-UA"/>
        </w:rPr>
        <w:t>млн.</w:t>
      </w:r>
      <w:r w:rsidRPr="002F4F97">
        <w:rPr>
          <w:sz w:val="28"/>
          <w:szCs w:val="28"/>
          <w:lang w:val="uk-UA"/>
        </w:rPr>
        <w:t xml:space="preserve"> </w:t>
      </w:r>
      <w:r w:rsidRPr="002F4F97">
        <w:rPr>
          <w:rFonts w:ascii="Times New Roman" w:hAnsi="Times New Roman"/>
          <w:sz w:val="28"/>
          <w:szCs w:val="28"/>
          <w:lang w:val="uk-UA"/>
        </w:rPr>
        <w:t>грн. та поточний ремонт 96,6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xml:space="preserve"> дорожнього покриття, що становить близько 43,5 млн.</w:t>
      </w:r>
      <w:r w:rsidRPr="002F4F97">
        <w:rPr>
          <w:sz w:val="28"/>
          <w:szCs w:val="28"/>
          <w:lang w:val="uk-UA"/>
        </w:rPr>
        <w:t xml:space="preserve"> </w:t>
      </w:r>
      <w:r w:rsidRPr="002F4F97">
        <w:rPr>
          <w:rFonts w:ascii="Times New Roman" w:hAnsi="Times New Roman"/>
          <w:sz w:val="28"/>
          <w:szCs w:val="28"/>
          <w:lang w:val="uk-UA"/>
        </w:rPr>
        <w:t xml:space="preserve">грн. Протягом минулих років існуючі нормативи ремонту міських доріг не витримувались, що негативно вплинуло на їх технічний та естетичний стан. За останні 5 років було освоєно бюджетних коштів на ремонти автодоріг всього </w:t>
      </w:r>
      <w:r w:rsidRPr="00CE084A">
        <w:rPr>
          <w:rFonts w:ascii="Times New Roman" w:hAnsi="Times New Roman"/>
          <w:sz w:val="28"/>
          <w:szCs w:val="28"/>
          <w:lang w:val="uk-UA"/>
        </w:rPr>
        <w:t>30 927,6 тис. грн., 2014 р. – 415,4 тис. грн., в 2015 р. – 14 731,3 тис. грн., в 2016 р. – 8 189,4 тис. грн., 2017 р. – 4 009,7 тис. грн., 2018 р. – 3 581,8 тис. грн.</w:t>
      </w:r>
    </w:p>
    <w:p w:rsidR="00497C3E" w:rsidRPr="002F4F97" w:rsidRDefault="00497C3E" w:rsidP="00FE092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Чинне законодавств</w:t>
      </w:r>
      <w:r>
        <w:rPr>
          <w:rFonts w:ascii="Times New Roman" w:hAnsi="Times New Roman"/>
          <w:sz w:val="28"/>
          <w:szCs w:val="28"/>
          <w:lang w:val="uk-UA"/>
        </w:rPr>
        <w:t>о</w:t>
      </w:r>
      <w:r w:rsidRPr="002F4F97">
        <w:rPr>
          <w:rFonts w:ascii="Times New Roman" w:hAnsi="Times New Roman"/>
          <w:sz w:val="28"/>
          <w:szCs w:val="28"/>
          <w:lang w:val="uk-UA"/>
        </w:rPr>
        <w:t xml:space="preserve"> зобов’язує забезпечити виконання робіт з технічної інвентаризації та паспортизації автомобільних доріг міст Лисичанськ, Новодружеськ, Привілля. Відсутність комплексної схеми (проекту) організації дорожнього руху унеможливлює здійснення своєчасних заходів щодо безпеки дорожнього руху у відповідності до вимог чинного законодавства.</w:t>
      </w:r>
    </w:p>
    <w:p w:rsidR="00497C3E" w:rsidRPr="002F4F97" w:rsidRDefault="00497C3E" w:rsidP="0026181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Послуги з водопостачання та водовідведення у м.</w:t>
      </w:r>
      <w:r w:rsidRPr="002F4F97">
        <w:rPr>
          <w:sz w:val="28"/>
          <w:szCs w:val="28"/>
          <w:lang w:val="uk-UA"/>
        </w:rPr>
        <w:t> </w:t>
      </w:r>
      <w:r w:rsidRPr="002F4F97">
        <w:rPr>
          <w:rFonts w:ascii="Times New Roman" w:hAnsi="Times New Roman"/>
          <w:sz w:val="28"/>
          <w:szCs w:val="28"/>
          <w:lang w:val="uk-UA"/>
        </w:rPr>
        <w:t xml:space="preserve">Лисичанську надає Лисичанське спеціалізоване комунальне підприємство «Лисичанськ-водоканал». На балансі підприємства знаходиться 6 підземних водозаборів (загальна кількість свердловин 72, фактично в роботі 23), 14 водопровідних насосних станцій, 2742 водопровідних колодязя та 686,05 км водопровідних мереж, які розподіляють воду по всіх районах міста. Фізичний знос водопровідних мереж складає в середньому 84,24% або 578 км. Для надання послуг з прийому господарсько-побутових стічних вод, що надходять від населення і промислових підприємств, їх очищення та знезараження на </w:t>
      </w:r>
      <w:r w:rsidRPr="002F4F97">
        <w:rPr>
          <w:rFonts w:ascii="Times New Roman" w:hAnsi="Times New Roman"/>
          <w:sz w:val="28"/>
          <w:szCs w:val="28"/>
          <w:lang w:val="uk-UA"/>
        </w:rPr>
        <w:lastRenderedPageBreak/>
        <w:t>очисних спорудах, на балансі підприємства знаходиться 17 каналізаційних насосних станцій, 226,8 км каналізаційних мереж, зношених в середньому на 82,44% або 187 км, та 4293 каналізаційних колодязя.</w:t>
      </w:r>
    </w:p>
    <w:p w:rsidR="00497C3E" w:rsidRPr="002F4F97" w:rsidRDefault="00497C3E" w:rsidP="0026181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Оскільки водозабори вводилися в експлуатацію з 1930 по 1974 роки, рівень зносу окремих ділянок трубопроводів та обладнання становить 100%. Встановлене на водопровідних та каналізаційних насосних станціях обладнання в значній мірі є морально і фізично застарілим, що не відповідає сучасним вимогам по співвідношенню енергоспоживання і продуктивності. З п'яти комплексів каналізаційних очисних споруд – чотири потребують реконструкції. Незадовільний стан водопровідних та каналізаційних мереж, насосного і технологічного обладнання змушують підприємство працювати в режимі аварійного реагування та надлишкових непередбачених витрат, що є основними причинами збиткової діяльності підприємства.</w:t>
      </w:r>
    </w:p>
    <w:p w:rsidR="00497C3E" w:rsidRPr="002F4F97" w:rsidRDefault="00497C3E" w:rsidP="00ED4D45">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Згідно Закону України «Про комерційний облік теплової енергії та водопостачання» ЛКСП «Лисичанськводоканал» необхідно до 02.08.2019 встановити 825 комерційних приладів обліку на багатоквартирних будинках міст Лисичанська, Новодружеська, Привілля на загальну суму 37 125,0 тис. грн., але в зв'язку зі скрутним фінансовим станом (борг ТОВ «ЛЕО» та арешт рахунків по судовому запровадженню) ЛКСП «Лисичанськводоканал» не в змозі виконати ці проекти самостійно без виділення коштів із місцевого бюджету. Крім того, з метою підвищення екологічної безпеки та охорони навколишнього середовища, необхідно виконати роботи щодо обладнання вузлами знезараження гипохлоридом натрію води і стоків на насосних станціях та очисних спорудах ЛКСП «Лисичанськводоканал».</w:t>
      </w:r>
    </w:p>
    <w:p w:rsidR="00497C3E" w:rsidRPr="002F4F97" w:rsidRDefault="00497C3E" w:rsidP="0096352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м.м. Лисичанська, Новодружеська та Привілля тепловою енергією населення, бюджетних організацій і комерційних підприємств здійснює КП «Лисичанськтепломережа». Підприємство опалює 340 житлових будинків, 18 шкіл, 13 дитячих садків, 16 корпусів лікувальних закладів, 11 навчальних закладів (ПТУ, технікуми), 18 установ відділу культури, 2 позашкільних установи. Загальна опалювальна площа складає 869,7 тис. 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у тому числі: житлові будинки – 616,5 тис.м</w:t>
      </w:r>
      <w:r w:rsidRPr="002F4F97">
        <w:rPr>
          <w:rFonts w:ascii="Times New Roman" w:hAnsi="Times New Roman"/>
          <w:sz w:val="28"/>
          <w:szCs w:val="28"/>
          <w:vertAlign w:val="superscript"/>
          <w:lang w:val="uk-UA"/>
        </w:rPr>
        <w:t>2</w:t>
      </w:r>
      <w:r w:rsidRPr="002F4F97">
        <w:rPr>
          <w:rFonts w:ascii="Times New Roman" w:hAnsi="Times New Roman"/>
          <w:sz w:val="28"/>
          <w:szCs w:val="28"/>
          <w:lang w:val="uk-UA"/>
        </w:rPr>
        <w:t>; бюджетні та госпрозрахункові підприємства – 253, 2 тис.м</w:t>
      </w:r>
      <w:r w:rsidRPr="002F4F97">
        <w:rPr>
          <w:rFonts w:ascii="Times New Roman" w:hAnsi="Times New Roman"/>
          <w:sz w:val="28"/>
          <w:szCs w:val="28"/>
          <w:vertAlign w:val="superscript"/>
          <w:lang w:val="uk-UA"/>
        </w:rPr>
        <w:t>2</w:t>
      </w:r>
      <w:r w:rsidRPr="002F4F97">
        <w:rPr>
          <w:sz w:val="28"/>
          <w:szCs w:val="28"/>
          <w:lang w:val="uk-UA"/>
        </w:rPr>
        <w:t xml:space="preserve">. </w:t>
      </w:r>
      <w:r w:rsidRPr="002F4F97">
        <w:rPr>
          <w:rFonts w:ascii="Times New Roman" w:hAnsi="Times New Roman"/>
          <w:sz w:val="28"/>
          <w:szCs w:val="28"/>
          <w:lang w:val="uk-UA"/>
        </w:rPr>
        <w:t>Приєднане навантаження становить 198,0461 Гкал/годину. Підприємство обслуговує 15 827 особистих рахунків. Знос основних фондів становить 40%.</w:t>
      </w:r>
    </w:p>
    <w:p w:rsidR="00497C3E" w:rsidRPr="002F4F97" w:rsidRDefault="00497C3E" w:rsidP="00963528">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Нестача інвестицій в галузь та обігових коштів підприємств впродовж останніх років призвели до значного погіршення технічного стану основних фондів, підвищенню їх аварійності, збільшенню питомих витрат матеріальних та енергетичних ресурсів, що негативно впливає на рівень та якість послуг, що надаються.</w:t>
      </w:r>
    </w:p>
    <w:p w:rsidR="00497C3E" w:rsidRPr="002F4F97" w:rsidRDefault="00497C3E" w:rsidP="0090716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Благоустрій міста складається з таких послуг:</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та ремонт зелених насаджень міста;</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та ремонт об’єктів вулично-дорожньої мережі;</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та ремонт ліній зовнішнього освітлення;</w:t>
      </w:r>
    </w:p>
    <w:p w:rsidR="00497C3E" w:rsidRPr="002F4F97"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санітарної очистки міста;</w:t>
      </w:r>
    </w:p>
    <w:p w:rsidR="00497C3E" w:rsidRPr="00A2503B" w:rsidRDefault="00497C3E" w:rsidP="00985342">
      <w:pPr>
        <w:numPr>
          <w:ilvl w:val="0"/>
          <w:numId w:val="4"/>
        </w:numPr>
        <w:tabs>
          <w:tab w:val="left" w:pos="1276"/>
        </w:tabs>
        <w:spacing w:after="0" w:line="240" w:lineRule="auto"/>
        <w:ind w:left="0" w:firstLine="709"/>
        <w:jc w:val="both"/>
        <w:rPr>
          <w:rFonts w:ascii="Times New Roman" w:hAnsi="Times New Roman"/>
          <w:sz w:val="28"/>
          <w:szCs w:val="28"/>
          <w:lang w:val="uk-UA"/>
        </w:rPr>
      </w:pPr>
      <w:r w:rsidRPr="00A2503B">
        <w:rPr>
          <w:rFonts w:ascii="Times New Roman" w:hAnsi="Times New Roman"/>
          <w:sz w:val="28"/>
          <w:szCs w:val="28"/>
          <w:lang w:val="uk-UA"/>
        </w:rPr>
        <w:lastRenderedPageBreak/>
        <w:t>утримання міських кладовищ</w:t>
      </w:r>
      <w:r w:rsidR="00A2503B" w:rsidRPr="00A2503B">
        <w:rPr>
          <w:rFonts w:ascii="Times New Roman" w:hAnsi="Times New Roman"/>
          <w:sz w:val="28"/>
          <w:szCs w:val="28"/>
          <w:lang w:val="uk-UA"/>
        </w:rPr>
        <w:t xml:space="preserve"> </w:t>
      </w:r>
      <w:r w:rsidRPr="00A2503B">
        <w:rPr>
          <w:rFonts w:ascii="Times New Roman" w:hAnsi="Times New Roman"/>
          <w:sz w:val="28"/>
          <w:szCs w:val="28"/>
          <w:lang w:val="uk-UA"/>
        </w:rPr>
        <w:t>тощо.</w:t>
      </w:r>
    </w:p>
    <w:p w:rsidR="00497C3E" w:rsidRPr="002F4F97" w:rsidRDefault="00497C3E" w:rsidP="00FE092F">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Недостатність обігових коштів підприємств та капіталовкладень на виконання ремонтів об’єктів житлово-комунального господарства впродовж останніх років призвели до значного погіршення технічного стану основних фондів, підвищенню їх аварійності, збільшенню питомих витрат матеріальних та енергетичних ресурсів, що негативно впливає на рівень та якість послуг, що надаються.</w:t>
      </w:r>
    </w:p>
    <w:p w:rsidR="00497C3E" w:rsidRPr="008D3F62" w:rsidRDefault="00497C3E" w:rsidP="004259A4">
      <w:pPr>
        <w:spacing w:after="0" w:line="240" w:lineRule="auto"/>
        <w:ind w:firstLine="709"/>
        <w:jc w:val="both"/>
        <w:rPr>
          <w:rFonts w:ascii="Times New Roman" w:hAnsi="Times New Roman"/>
          <w:sz w:val="28"/>
          <w:szCs w:val="28"/>
          <w:lang w:val="uk-UA"/>
        </w:rPr>
      </w:pPr>
      <w:r w:rsidRPr="008D3F62">
        <w:rPr>
          <w:rFonts w:ascii="Times New Roman" w:hAnsi="Times New Roman"/>
          <w:sz w:val="28"/>
          <w:szCs w:val="28"/>
          <w:lang w:val="uk-UA"/>
        </w:rPr>
        <w:t>Протягом 2018 року із місцевого бюджету було виділено коштів за напрямками:</w:t>
      </w:r>
    </w:p>
    <w:p w:rsidR="008D3F62" w:rsidRPr="008D3F62" w:rsidRDefault="008D3F62" w:rsidP="008D3F62">
      <w:pPr>
        <w:numPr>
          <w:ilvl w:val="0"/>
          <w:numId w:val="4"/>
        </w:numPr>
        <w:tabs>
          <w:tab w:val="left" w:pos="1276"/>
        </w:tabs>
        <w:spacing w:after="0" w:line="240" w:lineRule="auto"/>
        <w:ind w:left="0" w:firstLine="709"/>
        <w:jc w:val="both"/>
        <w:rPr>
          <w:rFonts w:ascii="Times New Roman" w:hAnsi="Times New Roman"/>
          <w:sz w:val="28"/>
          <w:szCs w:val="28"/>
          <w:lang w:val="uk-UA"/>
        </w:rPr>
      </w:pPr>
      <w:r w:rsidRPr="008D3F62">
        <w:rPr>
          <w:rFonts w:ascii="Times New Roman" w:hAnsi="Times New Roman"/>
          <w:sz w:val="28"/>
          <w:szCs w:val="28"/>
          <w:lang w:val="uk-UA"/>
        </w:rPr>
        <w:t>благоустрій та фінансова підтримка – 18 млн. грн.;</w:t>
      </w:r>
    </w:p>
    <w:p w:rsidR="008D3F62" w:rsidRPr="008D3F62" w:rsidRDefault="008D3F62" w:rsidP="008D3F62">
      <w:pPr>
        <w:numPr>
          <w:ilvl w:val="0"/>
          <w:numId w:val="4"/>
        </w:numPr>
        <w:tabs>
          <w:tab w:val="left" w:pos="1276"/>
        </w:tabs>
        <w:spacing w:after="0" w:line="240" w:lineRule="auto"/>
        <w:ind w:left="0" w:firstLine="709"/>
        <w:jc w:val="both"/>
        <w:rPr>
          <w:rFonts w:ascii="Times New Roman" w:hAnsi="Times New Roman"/>
          <w:sz w:val="28"/>
          <w:szCs w:val="28"/>
          <w:lang w:val="uk-UA"/>
        </w:rPr>
      </w:pPr>
      <w:r w:rsidRPr="008D3F62">
        <w:rPr>
          <w:rFonts w:ascii="Times New Roman" w:hAnsi="Times New Roman"/>
          <w:sz w:val="28"/>
          <w:szCs w:val="28"/>
          <w:lang w:val="uk-UA"/>
        </w:rPr>
        <w:t>бюджет розвитку ЖКГ – 14,2 млн. грн.;</w:t>
      </w:r>
    </w:p>
    <w:p w:rsidR="008D3F62" w:rsidRPr="008D3F62" w:rsidRDefault="008D3F62" w:rsidP="008D3F62">
      <w:pPr>
        <w:numPr>
          <w:ilvl w:val="0"/>
          <w:numId w:val="4"/>
        </w:numPr>
        <w:tabs>
          <w:tab w:val="left" w:pos="1276"/>
        </w:tabs>
        <w:spacing w:after="0" w:line="240" w:lineRule="auto"/>
        <w:ind w:left="0" w:firstLine="709"/>
        <w:jc w:val="both"/>
        <w:rPr>
          <w:rFonts w:ascii="Times New Roman" w:hAnsi="Times New Roman"/>
          <w:sz w:val="28"/>
          <w:szCs w:val="28"/>
          <w:lang w:val="uk-UA"/>
        </w:rPr>
      </w:pPr>
      <w:r w:rsidRPr="008D3F62">
        <w:rPr>
          <w:rFonts w:ascii="Times New Roman" w:hAnsi="Times New Roman"/>
          <w:sz w:val="28"/>
          <w:szCs w:val="28"/>
          <w:lang w:val="uk-UA"/>
        </w:rPr>
        <w:t>оплата послуг бюджетною сферою (тепло- та водопостачання) – 36,2 млн. грн.;</w:t>
      </w:r>
    </w:p>
    <w:p w:rsidR="008D3F62" w:rsidRPr="008D3F62" w:rsidRDefault="008D3F62" w:rsidP="008D3F62">
      <w:pPr>
        <w:numPr>
          <w:ilvl w:val="0"/>
          <w:numId w:val="4"/>
        </w:numPr>
        <w:tabs>
          <w:tab w:val="left" w:pos="1276"/>
        </w:tabs>
        <w:spacing w:after="0" w:line="240" w:lineRule="auto"/>
        <w:ind w:left="0" w:firstLine="709"/>
        <w:jc w:val="both"/>
        <w:rPr>
          <w:rFonts w:ascii="Times New Roman" w:hAnsi="Times New Roman"/>
          <w:sz w:val="28"/>
          <w:szCs w:val="28"/>
          <w:lang w:val="uk-UA"/>
        </w:rPr>
      </w:pPr>
      <w:r w:rsidRPr="008D3F62">
        <w:rPr>
          <w:rFonts w:ascii="Times New Roman" w:hAnsi="Times New Roman"/>
          <w:sz w:val="28"/>
          <w:szCs w:val="28"/>
          <w:lang w:val="uk-UA"/>
        </w:rPr>
        <w:t>надані пільги та субсидії – 94,2 млн. грн.</w:t>
      </w:r>
    </w:p>
    <w:p w:rsidR="00497C3E" w:rsidRPr="002F4F97" w:rsidRDefault="00497C3E" w:rsidP="004259A4">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В</w:t>
      </w:r>
      <w:r w:rsidRPr="002F4F97">
        <w:rPr>
          <w:rFonts w:ascii="Times New Roman" w:hAnsi="Times New Roman"/>
          <w:sz w:val="28"/>
          <w:szCs w:val="28"/>
          <w:lang w:val="uk-UA"/>
        </w:rPr>
        <w:t>иконані такі заходи:</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і ремонт об’єктів благоустрою (зелені насадження, тротуари, лінії зовнішнього освітлення, кладовища міста) та забезпечення санітарної очистки міста на суму 5059,8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проведено поточний та капітальний ремонт автодоріг міста на суму 3581,9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утримання  та ремонт об’єктів вулично-дорожньої мережі (дороги, світлофори) на суму 2337,3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залучено безробітних осіб, що направлені на виконання громадських та інших робіт тимчасового характеру, для виконання робіт з благоустрою територій міста та закріплених за підприємствами територій на суму 333,7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проведено капітальні ремонти житлового фонду та ліфтів на суму 1979,7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з метою зниження споживання електроенергії ЛКСП «Лисичанськводоканал» придбано частотний перетворювач току на суму 2950,1 тис. грн.</w:t>
      </w:r>
    </w:p>
    <w:p w:rsidR="00497C3E" w:rsidRPr="002F4F97" w:rsidRDefault="00497C3E" w:rsidP="004259A4">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рахунок коштів підприємств виконані наступні заходи:</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КП ЛМР «Електроавтотранс» – поточний та середній ремонт рухомого складу міського електротранспорту на суму 192,4 тис. грн.;</w:t>
      </w:r>
    </w:p>
    <w:p w:rsidR="00497C3E" w:rsidRPr="002F4F97" w:rsidRDefault="00497C3E" w:rsidP="004259A4">
      <w:pPr>
        <w:numPr>
          <w:ilvl w:val="0"/>
          <w:numId w:val="4"/>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ЛКСП «Лисичанськводоканал» – розроблений робочий проект: «Реконструкція каналізаційного колектору Ду 300мм м. Лисичанськ, від вул. Сосюри (район будинку 408) до вул.</w:t>
      </w:r>
      <w:r w:rsidR="00A2503B">
        <w:rPr>
          <w:rFonts w:ascii="Times New Roman" w:hAnsi="Times New Roman"/>
          <w:sz w:val="28"/>
          <w:szCs w:val="28"/>
          <w:lang w:val="uk-UA"/>
        </w:rPr>
        <w:t xml:space="preserve"> </w:t>
      </w:r>
      <w:r w:rsidRPr="002F4F97">
        <w:rPr>
          <w:rFonts w:ascii="Times New Roman" w:hAnsi="Times New Roman"/>
          <w:sz w:val="28"/>
          <w:szCs w:val="28"/>
          <w:lang w:val="uk-UA"/>
        </w:rPr>
        <w:t>Балтийської, 6 , протяжністю 1210 м» на суму 261,7 тис. грн.</w:t>
      </w:r>
    </w:p>
    <w:p w:rsidR="00497C3E" w:rsidRPr="002F4F97" w:rsidRDefault="00497C3E" w:rsidP="00FE092F">
      <w:pPr>
        <w:spacing w:after="0" w:line="240" w:lineRule="auto"/>
        <w:ind w:firstLine="709"/>
        <w:jc w:val="both"/>
        <w:rPr>
          <w:rFonts w:ascii="Times New Roman" w:hAnsi="Times New Roman"/>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незадовільний технічний стан багатоквартирних житлових будинків, наднормативні витрати енергоносіїв, недостатня кількість засобів обліку та регулювання енергоносіїв у багатоквартирних житлових будинках;</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збитковість підприємств, пов’язана з невідповідністю фактичних витрат на надання послуг та вартості складових собівартості послуг, та, як наслідок, велика кредиторська заборгованість підприємств галузі за спожиті енергоносії та по сплаті податків;</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близький до аварійного стан магістральних та розподільчих мереж водопровідно-каналізаційного господарства, що призводить до понаднормових витоків води;</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застарілість обладнання та систем теплопостачання, низький ККД обладнання, що обумовлює понаднормативні витрати енергоносіїв;</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незадовільний стан об’єктів благоустрою міста (стан дорожнього покриття вулиць та доріг міста, мереж зовнішнього освітлення вулиць, тощо).</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якості житлово-комунальних послуг для всіх верств населення, послуг з благоустрою територій міста та послуг з перевезення населення міським електротранспортом;</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зниження рівня енергоємності виробництва одиниці продукції, виконаних робіт, наданих послуг;</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зменшення втрат паливно-енергетичних ресурсів шляхом здійснення організаційних, технічних, технологічних та інших заходів, зокрема оновлення основних фондів, модернізація виробничих потужностей, запровадження енергоефективних технологій.</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модернізація та розвиток водопровідно-каналізаційного господарства;</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зниження витрат паливно-енергетичних ресурсів на виробництво, транспортування та постачання теплової енергії шляхом заміни та модернізації існуючого теплогенеруючого обладнання, теплових мереж, використання індивідуальних теплових пунктів, оптимізації схем теплопостачання;</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створення умов, що сприятимуть забезпеченню повного збирання, перевезення, перероблення, утилізації та захоронення ТПВ і запобігання їх шкідливій дії на навколишнє природне середовище та здоров’я людей;</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будівництво, реконструкція, ремонт та утримання вулиць і доріг комунальної власності у населених пунктах області;</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відновлення та модернізація матеріально-технічної бази комунальних підприємств, підвищення рівня благоустрою та комунального обслуговування населення;</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мобілізація фінансових ресурсів для підвищення фінансової стійкості підприємств галузі, модернізація існуючих потужностей, переобладнання та розширення виробництва.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 xml:space="preserve">зниження втрат питної води при транспортуванні, забезпечення безперебійного водопостачання; покращення якості питної води та очищення стічних вод; підвищення надійності роботи насосних станцій та забезпечення </w:t>
      </w:r>
      <w:r w:rsidRPr="002F4F97">
        <w:rPr>
          <w:rFonts w:ascii="Times New Roman" w:hAnsi="Times New Roman"/>
          <w:sz w:val="28"/>
          <w:szCs w:val="28"/>
          <w:lang w:val="uk-UA" w:eastAsia="uk-UA"/>
        </w:rPr>
        <w:lastRenderedPageBreak/>
        <w:t>безаварійної роботи каналізаційної системи міста; забезпечення точнішого обліку пропуску стічних вод та покращення очистки стічних вод;</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якості надання послуг з вивезення ТПВ; відсутність аварійних ситуацій, покращення санітарного стану міста;</w:t>
      </w:r>
    </w:p>
    <w:p w:rsidR="00497C3E" w:rsidRPr="002F4F97" w:rsidRDefault="00497C3E" w:rsidP="000125E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покращення стану автодоріг міста, підвищення рівня безпеки дорожнього руху; покращення роботи підприємств галузі та якості виконуваних робіт з благоустрою території міста.</w:t>
      </w:r>
    </w:p>
    <w:p w:rsidR="00497C3E" w:rsidRPr="002F4F97" w:rsidRDefault="00497C3E" w:rsidP="00FE092F">
      <w:pPr>
        <w:suppressAutoHyphens/>
        <w:spacing w:after="0" w:line="240" w:lineRule="auto"/>
        <w:jc w:val="both"/>
        <w:rPr>
          <w:rFonts w:ascii="Times New Roman" w:hAnsi="Times New Roman"/>
          <w:sz w:val="28"/>
          <w:szCs w:val="28"/>
          <w:lang w:val="uk-UA" w:eastAsia="uk-UA"/>
        </w:rPr>
      </w:pPr>
    </w:p>
    <w:p w:rsidR="00497C3E" w:rsidRPr="002F4F97" w:rsidRDefault="00497C3E" w:rsidP="00216499">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ГУМАНІТАРНА СФЕРА</w:t>
      </w:r>
    </w:p>
    <w:p w:rsidR="00497C3E" w:rsidRPr="002F4F97" w:rsidRDefault="00497C3E" w:rsidP="00FE092F">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DF6DA7">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Охорона здоров’я</w:t>
      </w:r>
    </w:p>
    <w:p w:rsidR="00497C3E" w:rsidRPr="002F4F97" w:rsidRDefault="00497C3E" w:rsidP="00487FF9">
      <w:pPr>
        <w:spacing w:after="0" w:line="240" w:lineRule="auto"/>
        <w:ind w:firstLine="709"/>
        <w:jc w:val="both"/>
        <w:rPr>
          <w:rFonts w:ascii="Times New Roman" w:hAnsi="Times New Roman"/>
          <w:sz w:val="28"/>
          <w:szCs w:val="28"/>
          <w:lang w:val="uk-UA"/>
        </w:rPr>
      </w:pPr>
    </w:p>
    <w:p w:rsidR="00497C3E" w:rsidRPr="002F4F97" w:rsidRDefault="00497C3E" w:rsidP="007F69EE">
      <w:pPr>
        <w:pStyle w:val="14pt"/>
        <w:ind w:firstLine="708"/>
        <w:rPr>
          <w:b w:val="0"/>
          <w:lang w:val="uk-UA"/>
        </w:rPr>
      </w:pPr>
      <w:r w:rsidRPr="002F4F97">
        <w:rPr>
          <w:b w:val="0"/>
          <w:lang w:val="uk-UA"/>
        </w:rPr>
        <w:t>Основною метою діяльності охорони міста є реалізація державної політики в сфері охорони здоров’я, надання якісної медичної допомоги населенню міста, ВПО, військовослужбовцям.</w:t>
      </w:r>
    </w:p>
    <w:p w:rsidR="00497C3E" w:rsidRPr="002F4F97" w:rsidRDefault="00497C3E" w:rsidP="007F69EE">
      <w:pPr>
        <w:pStyle w:val="14pt"/>
        <w:ind w:firstLine="708"/>
        <w:rPr>
          <w:b w:val="0"/>
          <w:lang w:val="uk-UA"/>
        </w:rPr>
      </w:pPr>
      <w:r w:rsidRPr="002F4F97">
        <w:rPr>
          <w:b w:val="0"/>
          <w:lang w:val="uk-UA"/>
        </w:rPr>
        <w:t>Починаючі з 2018 р. в місті розпочалась реформа системи охорони здоров’я. В місті проведено реорганізацію закладів охорони здоров’я, що надають первину медичну допомогу (створено КНП «Центр ПМСД №1» та КНП «Центр ПМСД №2»).</w:t>
      </w:r>
    </w:p>
    <w:p w:rsidR="00497C3E" w:rsidRPr="002F4F97" w:rsidRDefault="00497C3E" w:rsidP="007F69EE">
      <w:pPr>
        <w:pStyle w:val="14pt"/>
        <w:ind w:firstLine="708"/>
        <w:rPr>
          <w:b w:val="0"/>
          <w:lang w:val="uk-UA"/>
        </w:rPr>
      </w:pPr>
      <w:r w:rsidRPr="002F4F97">
        <w:rPr>
          <w:b w:val="0"/>
          <w:lang w:val="uk-UA"/>
        </w:rPr>
        <w:t>Основними чинниками, що впливають на виконання покладених завдань є недостатній рівень бюджетного фінансування, зниження соціального рівня населення, збільшення цін на лікарські засоби та вироби медичного призначення; недостатня матеріально-технічна база лікувально-профілактичних закладів. Всі вищевказані чинники впливають на якість надання медичної допомоги, що не дозволяє забезпечити виконання протоколів та стандартів надання медичної допомоги, внаслідок чого збільшується рівень ускладнень захворювань, збільшення рівня тяжких невиліковних захворювань.</w:t>
      </w:r>
    </w:p>
    <w:p w:rsidR="00497C3E" w:rsidRPr="002F4F97" w:rsidRDefault="00497C3E" w:rsidP="007F69EE">
      <w:pPr>
        <w:pStyle w:val="14pt"/>
        <w:ind w:firstLine="708"/>
        <w:rPr>
          <w:b w:val="0"/>
          <w:lang w:val="uk-UA"/>
        </w:rPr>
      </w:pPr>
      <w:r w:rsidRPr="002F4F97">
        <w:rPr>
          <w:b w:val="0"/>
          <w:lang w:val="uk-UA"/>
        </w:rPr>
        <w:t>Заклади охорони здоров’я міста знаходяться в зоні проведення ООС. Центральні міська лікарня  в теперішній час надає медичну допомогу постраждалим від бойових дій, військовослужбовцям, працівникам МВС, вимушеним переселенцям, а також мешканцям населених пунктів Попаснянського району. Постійно зростає кількість  пологів  жінок, що мешкають на окупованій території та населених пунктів Попаснянського району.</w:t>
      </w:r>
    </w:p>
    <w:p w:rsidR="00497C3E" w:rsidRPr="002F4F97" w:rsidRDefault="00497C3E" w:rsidP="007F69EE">
      <w:pPr>
        <w:pStyle w:val="14pt"/>
        <w:ind w:firstLine="708"/>
        <w:rPr>
          <w:b w:val="0"/>
          <w:lang w:val="uk-UA"/>
        </w:rPr>
      </w:pPr>
      <w:r w:rsidRPr="002F4F97">
        <w:rPr>
          <w:b w:val="0"/>
          <w:lang w:val="uk-UA"/>
        </w:rPr>
        <w:t>Відмічається тенденція скорочення загальної кількості лікарів та середніх медпрацівників лікувально-профілактичних закладів, зростає кількість медичних працівників пенсійного віку:</w:t>
      </w:r>
    </w:p>
    <w:p w:rsidR="00497C3E" w:rsidRPr="002F4F97" w:rsidRDefault="00497C3E" w:rsidP="007F69EE">
      <w:pPr>
        <w:pStyle w:val="14pt"/>
        <w:ind w:firstLine="708"/>
        <w:rPr>
          <w:b w:val="0"/>
          <w:lang w:val="uk-UA"/>
        </w:rPr>
      </w:pPr>
    </w:p>
    <w:tbl>
      <w:tblPr>
        <w:tblW w:w="0" w:type="auto"/>
        <w:jc w:val="center"/>
        <w:tblInd w:w="103" w:type="dxa"/>
        <w:tblLook w:val="00A0" w:firstRow="1" w:lastRow="0" w:firstColumn="1" w:lastColumn="0" w:noHBand="0" w:noVBand="0"/>
      </w:tblPr>
      <w:tblGrid>
        <w:gridCol w:w="6294"/>
        <w:gridCol w:w="993"/>
        <w:gridCol w:w="992"/>
        <w:gridCol w:w="1189"/>
      </w:tblGrid>
      <w:tr w:rsidR="00497C3E" w:rsidRPr="002F4F97" w:rsidTr="009778F5">
        <w:trPr>
          <w:trHeight w:val="20"/>
          <w:jc w:val="center"/>
        </w:trPr>
        <w:tc>
          <w:tcPr>
            <w:tcW w:w="629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center"/>
              <w:rPr>
                <w:rFonts w:ascii="Times New Roman" w:hAnsi="Times New Roman"/>
                <w:sz w:val="24"/>
                <w:szCs w:val="24"/>
                <w:lang w:val="uk-UA"/>
              </w:rPr>
            </w:pPr>
            <w:bookmarkStart w:id="11" w:name="_Hlk464132007"/>
            <w:r w:rsidRPr="002F4F97">
              <w:rPr>
                <w:rFonts w:ascii="Times New Roman" w:hAnsi="Times New Roman"/>
                <w:sz w:val="24"/>
                <w:szCs w:val="24"/>
                <w:lang w:val="uk-UA"/>
              </w:rPr>
              <w:t>Показник</w:t>
            </w:r>
          </w:p>
        </w:tc>
        <w:tc>
          <w:tcPr>
            <w:tcW w:w="993"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2017 р.</w:t>
            </w:r>
          </w:p>
        </w:tc>
        <w:tc>
          <w:tcPr>
            <w:tcW w:w="992" w:type="dxa"/>
            <w:tcBorders>
              <w:top w:val="single" w:sz="4" w:space="0" w:color="auto"/>
              <w:left w:val="nil"/>
              <w:bottom w:val="single" w:sz="4" w:space="0" w:color="auto"/>
              <w:right w:val="single" w:sz="4" w:space="0" w:color="auto"/>
            </w:tcBorders>
            <w:noWrap/>
            <w:vAlign w:val="center"/>
          </w:tcPr>
          <w:p w:rsidR="00497C3E" w:rsidRPr="002F4F97" w:rsidRDefault="00497C3E" w:rsidP="009778F5">
            <w:pPr>
              <w:spacing w:after="0" w:line="240" w:lineRule="auto"/>
              <w:jc w:val="center"/>
              <w:rPr>
                <w:rFonts w:ascii="Times New Roman" w:hAnsi="Times New Roman"/>
                <w:color w:val="000000"/>
                <w:sz w:val="24"/>
                <w:szCs w:val="24"/>
                <w:lang w:val="uk-UA"/>
              </w:rPr>
            </w:pPr>
            <w:r>
              <w:rPr>
                <w:rFonts w:ascii="Times New Roman" w:hAnsi="Times New Roman"/>
                <w:color w:val="000000"/>
                <w:sz w:val="24"/>
                <w:szCs w:val="24"/>
                <w:lang w:val="uk-UA"/>
              </w:rPr>
              <w:t>2018 р.</w:t>
            </w:r>
          </w:p>
        </w:tc>
        <w:tc>
          <w:tcPr>
            <w:tcW w:w="1189"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2019 р. (прогноз)</w:t>
            </w:r>
          </w:p>
        </w:tc>
      </w:tr>
      <w:bookmarkEnd w:id="11"/>
      <w:tr w:rsidR="00497C3E" w:rsidRPr="002F4F97" w:rsidTr="009778F5">
        <w:trPr>
          <w:trHeight w:val="20"/>
          <w:jc w:val="center"/>
        </w:trPr>
        <w:tc>
          <w:tcPr>
            <w:tcW w:w="629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Загальна чисельність лікарів в закладах охорони здоров’я усіх форм підпорядкування</w:t>
            </w:r>
            <w:r>
              <w:rPr>
                <w:rFonts w:ascii="Times New Roman" w:hAnsi="Times New Roman"/>
                <w:sz w:val="24"/>
                <w:szCs w:val="24"/>
                <w:lang w:val="uk-UA"/>
              </w:rPr>
              <w:t xml:space="preserve">, </w:t>
            </w:r>
            <w:r w:rsidRPr="002F4F97">
              <w:rPr>
                <w:rFonts w:ascii="Times New Roman" w:hAnsi="Times New Roman"/>
                <w:sz w:val="24"/>
                <w:szCs w:val="24"/>
                <w:lang w:val="uk-UA"/>
              </w:rPr>
              <w:t>тис. осіб</w:t>
            </w:r>
          </w:p>
        </w:tc>
        <w:tc>
          <w:tcPr>
            <w:tcW w:w="993"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0,254</w:t>
            </w:r>
          </w:p>
        </w:tc>
        <w:tc>
          <w:tcPr>
            <w:tcW w:w="992"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0,250</w:t>
            </w:r>
          </w:p>
        </w:tc>
        <w:tc>
          <w:tcPr>
            <w:tcW w:w="1189"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0,250</w:t>
            </w:r>
          </w:p>
        </w:tc>
      </w:tr>
      <w:tr w:rsidR="00497C3E" w:rsidRPr="002F4F97" w:rsidTr="009778F5">
        <w:trPr>
          <w:trHeight w:val="20"/>
          <w:jc w:val="center"/>
        </w:trPr>
        <w:tc>
          <w:tcPr>
            <w:tcW w:w="6294" w:type="dxa"/>
            <w:tcBorders>
              <w:top w:val="nil"/>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Загальна чисельність середніх медпрацівників в закладах охорони здоров’я усіх форм підпорядкування</w:t>
            </w:r>
            <w:r>
              <w:rPr>
                <w:rFonts w:ascii="Times New Roman" w:hAnsi="Times New Roman"/>
                <w:sz w:val="24"/>
                <w:szCs w:val="24"/>
                <w:lang w:val="uk-UA"/>
              </w:rPr>
              <w:t xml:space="preserve">, </w:t>
            </w:r>
            <w:r w:rsidRPr="002F4F97">
              <w:rPr>
                <w:rFonts w:ascii="Times New Roman" w:hAnsi="Times New Roman"/>
                <w:sz w:val="24"/>
                <w:szCs w:val="24"/>
                <w:lang w:val="uk-UA"/>
              </w:rPr>
              <w:t>тис. осіб</w:t>
            </w:r>
          </w:p>
        </w:tc>
        <w:tc>
          <w:tcPr>
            <w:tcW w:w="993" w:type="dxa"/>
            <w:tcBorders>
              <w:top w:val="nil"/>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0,635</w:t>
            </w:r>
          </w:p>
        </w:tc>
        <w:tc>
          <w:tcPr>
            <w:tcW w:w="992" w:type="dxa"/>
            <w:tcBorders>
              <w:top w:val="nil"/>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0,600</w:t>
            </w:r>
          </w:p>
        </w:tc>
        <w:tc>
          <w:tcPr>
            <w:tcW w:w="1189" w:type="dxa"/>
            <w:tcBorders>
              <w:top w:val="nil"/>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0,600</w:t>
            </w:r>
          </w:p>
        </w:tc>
      </w:tr>
    </w:tbl>
    <w:p w:rsidR="00497C3E" w:rsidRPr="002F4F97" w:rsidRDefault="00497C3E" w:rsidP="007F69EE">
      <w:pPr>
        <w:pStyle w:val="14pt"/>
        <w:ind w:firstLine="708"/>
        <w:rPr>
          <w:b w:val="0"/>
          <w:lang w:val="uk-UA"/>
        </w:rPr>
      </w:pPr>
      <w:r w:rsidRPr="002F4F97">
        <w:rPr>
          <w:b w:val="0"/>
          <w:lang w:val="uk-UA"/>
        </w:rPr>
        <w:lastRenderedPageBreak/>
        <w:t>Відмічається зниження рівня всіх захворювань населення. Зменшилась загальна захворюваність у 2018р. на 0,24%:</w:t>
      </w:r>
    </w:p>
    <w:p w:rsidR="00497C3E" w:rsidRPr="002F4F97" w:rsidRDefault="00497C3E" w:rsidP="007F69EE">
      <w:pPr>
        <w:pStyle w:val="14pt"/>
        <w:ind w:firstLine="708"/>
        <w:rPr>
          <w:b w:val="0"/>
          <w:lang w:val="uk-UA"/>
        </w:rPr>
      </w:pPr>
    </w:p>
    <w:tbl>
      <w:tblPr>
        <w:tblW w:w="0" w:type="auto"/>
        <w:jc w:val="center"/>
        <w:tblInd w:w="103" w:type="dxa"/>
        <w:tblLook w:val="00A0" w:firstRow="1" w:lastRow="0" w:firstColumn="1" w:lastColumn="0" w:noHBand="0" w:noVBand="0"/>
      </w:tblPr>
      <w:tblGrid>
        <w:gridCol w:w="5444"/>
        <w:gridCol w:w="1134"/>
        <w:gridCol w:w="1134"/>
        <w:gridCol w:w="1756"/>
      </w:tblGrid>
      <w:tr w:rsidR="00497C3E" w:rsidRPr="002F4F97" w:rsidTr="009778F5">
        <w:trPr>
          <w:trHeight w:val="20"/>
          <w:jc w:val="center"/>
        </w:trPr>
        <w:tc>
          <w:tcPr>
            <w:tcW w:w="544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center"/>
              <w:rPr>
                <w:rFonts w:ascii="Times New Roman" w:hAnsi="Times New Roman"/>
                <w:sz w:val="24"/>
                <w:szCs w:val="24"/>
                <w:lang w:val="uk-UA"/>
              </w:rPr>
            </w:pPr>
            <w:bookmarkStart w:id="12" w:name="_Hlk464132201"/>
            <w:r w:rsidRPr="002F4F97">
              <w:rPr>
                <w:rFonts w:ascii="Times New Roman" w:hAnsi="Times New Roman"/>
                <w:sz w:val="24"/>
                <w:szCs w:val="24"/>
                <w:lang w:val="uk-UA"/>
              </w:rPr>
              <w:t>Показник</w:t>
            </w:r>
          </w:p>
        </w:tc>
        <w:tc>
          <w:tcPr>
            <w:tcW w:w="1134" w:type="dxa"/>
            <w:tcBorders>
              <w:top w:val="single" w:sz="4" w:space="0" w:color="auto"/>
              <w:left w:val="nil"/>
              <w:bottom w:val="single" w:sz="4" w:space="0" w:color="auto"/>
              <w:right w:val="single" w:sz="4" w:space="0" w:color="auto"/>
            </w:tcBorders>
            <w:vAlign w:val="center"/>
          </w:tcPr>
          <w:p w:rsidR="00497C3E" w:rsidRPr="002F4F97" w:rsidRDefault="00497C3E" w:rsidP="009778F5">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2017 р.</w:t>
            </w:r>
          </w:p>
        </w:tc>
        <w:tc>
          <w:tcPr>
            <w:tcW w:w="1134" w:type="dxa"/>
            <w:tcBorders>
              <w:top w:val="single" w:sz="4" w:space="0" w:color="auto"/>
              <w:left w:val="nil"/>
              <w:bottom w:val="single" w:sz="4" w:space="0" w:color="auto"/>
              <w:right w:val="single" w:sz="4" w:space="0" w:color="auto"/>
            </w:tcBorders>
            <w:noWrap/>
            <w:vAlign w:val="center"/>
          </w:tcPr>
          <w:p w:rsidR="00497C3E" w:rsidRPr="002F4F97" w:rsidRDefault="00497C3E" w:rsidP="009778F5">
            <w:pPr>
              <w:spacing w:after="0" w:line="240" w:lineRule="auto"/>
              <w:jc w:val="center"/>
              <w:rPr>
                <w:rFonts w:ascii="Times New Roman" w:hAnsi="Times New Roman"/>
                <w:sz w:val="24"/>
                <w:szCs w:val="24"/>
                <w:lang w:val="uk-UA"/>
              </w:rPr>
            </w:pPr>
            <w:r>
              <w:rPr>
                <w:rFonts w:ascii="Times New Roman" w:hAnsi="Times New Roman"/>
                <w:sz w:val="24"/>
                <w:szCs w:val="24"/>
                <w:lang w:val="uk-UA"/>
              </w:rPr>
              <w:t>2018 р.</w:t>
            </w:r>
          </w:p>
        </w:tc>
        <w:tc>
          <w:tcPr>
            <w:tcW w:w="1756" w:type="dxa"/>
            <w:tcBorders>
              <w:top w:val="single" w:sz="4" w:space="0" w:color="auto"/>
              <w:left w:val="nil"/>
              <w:bottom w:val="single" w:sz="4" w:space="0" w:color="auto"/>
              <w:right w:val="single" w:sz="4" w:space="0" w:color="auto"/>
            </w:tcBorders>
            <w:noWrap/>
            <w:vAlign w:val="center"/>
          </w:tcPr>
          <w:p w:rsidR="00497C3E" w:rsidRPr="002F4F97" w:rsidRDefault="00497C3E" w:rsidP="009778F5">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2019 р. (прогноз)</w:t>
            </w:r>
          </w:p>
        </w:tc>
      </w:tr>
      <w:bookmarkEnd w:id="12"/>
      <w:tr w:rsidR="00497C3E" w:rsidRPr="002F4F97" w:rsidTr="009778F5">
        <w:trPr>
          <w:trHeight w:val="20"/>
          <w:jc w:val="center"/>
        </w:trPr>
        <w:tc>
          <w:tcPr>
            <w:tcW w:w="544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rPr>
                <w:rFonts w:ascii="Times New Roman" w:hAnsi="Times New Roman"/>
                <w:sz w:val="24"/>
                <w:szCs w:val="24"/>
                <w:lang w:val="uk-UA"/>
              </w:rPr>
            </w:pPr>
            <w:r w:rsidRPr="002F4F97">
              <w:rPr>
                <w:rFonts w:ascii="Times New Roman" w:hAnsi="Times New Roman"/>
                <w:sz w:val="24"/>
                <w:szCs w:val="24"/>
                <w:lang w:val="uk-UA"/>
              </w:rPr>
              <w:t>Усі захворювання, випадків на 100 тис. населення</w:t>
            </w:r>
          </w:p>
        </w:tc>
        <w:tc>
          <w:tcPr>
            <w:tcW w:w="1134" w:type="dxa"/>
            <w:tcBorders>
              <w:top w:val="single" w:sz="4" w:space="0" w:color="auto"/>
              <w:left w:val="nil"/>
              <w:bottom w:val="single" w:sz="4" w:space="0" w:color="auto"/>
              <w:right w:val="single" w:sz="4" w:space="0" w:color="auto"/>
            </w:tcBorders>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146162,0</w:t>
            </w:r>
          </w:p>
        </w:tc>
        <w:tc>
          <w:tcPr>
            <w:tcW w:w="1134"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145806,2</w:t>
            </w:r>
          </w:p>
        </w:tc>
        <w:tc>
          <w:tcPr>
            <w:tcW w:w="1756"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145733,3</w:t>
            </w:r>
          </w:p>
        </w:tc>
      </w:tr>
    </w:tbl>
    <w:p w:rsidR="00497C3E" w:rsidRPr="002F4F97" w:rsidRDefault="00497C3E" w:rsidP="007F69EE">
      <w:pPr>
        <w:pStyle w:val="14pt"/>
        <w:ind w:firstLine="708"/>
        <w:rPr>
          <w:b w:val="0"/>
          <w:lang w:val="uk-UA"/>
        </w:rPr>
      </w:pPr>
    </w:p>
    <w:p w:rsidR="00497C3E" w:rsidRPr="002F4F97" w:rsidRDefault="00497C3E" w:rsidP="007F69EE">
      <w:pPr>
        <w:pStyle w:val="14pt"/>
        <w:ind w:firstLine="708"/>
        <w:rPr>
          <w:b w:val="0"/>
          <w:lang w:val="uk-UA"/>
        </w:rPr>
      </w:pPr>
      <w:r w:rsidRPr="002F4F97">
        <w:rPr>
          <w:b w:val="0"/>
          <w:lang w:val="uk-UA"/>
        </w:rPr>
        <w:t>Залишається складною ситуація з рівнем ВІЛ-інфекції:</w:t>
      </w:r>
    </w:p>
    <w:p w:rsidR="00497C3E" w:rsidRPr="002F4F97" w:rsidRDefault="00497C3E" w:rsidP="007F69EE">
      <w:pPr>
        <w:pStyle w:val="14pt"/>
        <w:ind w:firstLine="708"/>
        <w:rPr>
          <w:b w:val="0"/>
          <w:lang w:val="uk-UA"/>
        </w:rPr>
      </w:pPr>
    </w:p>
    <w:tbl>
      <w:tblPr>
        <w:tblW w:w="0" w:type="auto"/>
        <w:jc w:val="center"/>
        <w:tblInd w:w="103" w:type="dxa"/>
        <w:tblLook w:val="00A0" w:firstRow="1" w:lastRow="0" w:firstColumn="1" w:lastColumn="0" w:noHBand="0" w:noVBand="0"/>
      </w:tblPr>
      <w:tblGrid>
        <w:gridCol w:w="6294"/>
        <w:gridCol w:w="993"/>
        <w:gridCol w:w="995"/>
        <w:gridCol w:w="1186"/>
      </w:tblGrid>
      <w:tr w:rsidR="00497C3E" w:rsidRPr="002F4F97" w:rsidTr="009778F5">
        <w:trPr>
          <w:trHeight w:val="20"/>
          <w:jc w:val="center"/>
        </w:trPr>
        <w:tc>
          <w:tcPr>
            <w:tcW w:w="629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Показник</w:t>
            </w:r>
          </w:p>
        </w:tc>
        <w:tc>
          <w:tcPr>
            <w:tcW w:w="993"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2017 р.</w:t>
            </w:r>
          </w:p>
        </w:tc>
        <w:tc>
          <w:tcPr>
            <w:tcW w:w="995"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Pr>
                <w:rFonts w:ascii="Times New Roman" w:hAnsi="Times New Roman"/>
                <w:sz w:val="24"/>
                <w:szCs w:val="24"/>
                <w:lang w:val="uk-UA"/>
              </w:rPr>
              <w:t>2018 р.</w:t>
            </w:r>
          </w:p>
        </w:tc>
        <w:tc>
          <w:tcPr>
            <w:tcW w:w="1186" w:type="dxa"/>
            <w:tcBorders>
              <w:top w:val="single" w:sz="4" w:space="0" w:color="auto"/>
              <w:left w:val="nil"/>
              <w:bottom w:val="single" w:sz="4" w:space="0" w:color="auto"/>
              <w:right w:val="single" w:sz="4" w:space="0" w:color="auto"/>
            </w:tcBorders>
            <w:noWrap/>
            <w:vAlign w:val="center"/>
          </w:tcPr>
          <w:p w:rsidR="00497C3E" w:rsidRPr="002F4F97" w:rsidRDefault="00497C3E" w:rsidP="007F69EE">
            <w:pPr>
              <w:spacing w:after="0" w:line="240" w:lineRule="auto"/>
              <w:jc w:val="center"/>
              <w:rPr>
                <w:rFonts w:ascii="Times New Roman" w:hAnsi="Times New Roman"/>
                <w:sz w:val="24"/>
                <w:szCs w:val="24"/>
                <w:lang w:val="uk-UA"/>
              </w:rPr>
            </w:pPr>
            <w:r w:rsidRPr="002F4F97">
              <w:rPr>
                <w:rFonts w:ascii="Times New Roman" w:hAnsi="Times New Roman"/>
                <w:sz w:val="24"/>
                <w:szCs w:val="24"/>
                <w:lang w:val="uk-UA"/>
              </w:rPr>
              <w:t>2019 р. (прогноз)</w:t>
            </w:r>
          </w:p>
        </w:tc>
      </w:tr>
      <w:tr w:rsidR="00497C3E" w:rsidRPr="002F4F97" w:rsidTr="009778F5">
        <w:trPr>
          <w:trHeight w:val="20"/>
          <w:jc w:val="center"/>
        </w:trPr>
        <w:tc>
          <w:tcPr>
            <w:tcW w:w="6294" w:type="dxa"/>
            <w:tcBorders>
              <w:top w:val="single" w:sz="4" w:space="0" w:color="auto"/>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Кількість ВІЛ-інфікованих, що</w:t>
            </w:r>
            <w:r>
              <w:rPr>
                <w:rFonts w:ascii="Times New Roman" w:hAnsi="Times New Roman"/>
                <w:sz w:val="24"/>
                <w:szCs w:val="24"/>
                <w:lang w:val="uk-UA"/>
              </w:rPr>
              <w:t xml:space="preserve"> </w:t>
            </w:r>
            <w:r w:rsidRPr="002F4F97">
              <w:rPr>
                <w:rFonts w:ascii="Times New Roman" w:hAnsi="Times New Roman"/>
                <w:sz w:val="24"/>
                <w:szCs w:val="24"/>
                <w:lang w:val="uk-UA"/>
              </w:rPr>
              <w:t>перебувають на обліку у медичних закладах на кінець року, осіб</w:t>
            </w:r>
          </w:p>
        </w:tc>
        <w:tc>
          <w:tcPr>
            <w:tcW w:w="993"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470</w:t>
            </w:r>
          </w:p>
        </w:tc>
        <w:tc>
          <w:tcPr>
            <w:tcW w:w="995"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452</w:t>
            </w:r>
          </w:p>
        </w:tc>
        <w:tc>
          <w:tcPr>
            <w:tcW w:w="1186" w:type="dxa"/>
            <w:tcBorders>
              <w:top w:val="single" w:sz="4" w:space="0" w:color="auto"/>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501</w:t>
            </w:r>
          </w:p>
        </w:tc>
      </w:tr>
      <w:tr w:rsidR="00497C3E" w:rsidRPr="002F4F97" w:rsidTr="009778F5">
        <w:trPr>
          <w:trHeight w:val="20"/>
          <w:jc w:val="center"/>
        </w:trPr>
        <w:tc>
          <w:tcPr>
            <w:tcW w:w="6294" w:type="dxa"/>
            <w:tcBorders>
              <w:top w:val="nil"/>
              <w:left w:val="single" w:sz="4" w:space="0" w:color="auto"/>
              <w:bottom w:val="single" w:sz="4" w:space="0" w:color="auto"/>
              <w:right w:val="single" w:sz="4" w:space="0" w:color="auto"/>
            </w:tcBorders>
            <w:vAlign w:val="center"/>
          </w:tcPr>
          <w:p w:rsidR="00497C3E" w:rsidRPr="002F4F97" w:rsidRDefault="00497C3E" w:rsidP="007F69EE">
            <w:pPr>
              <w:spacing w:after="0" w:line="240" w:lineRule="auto"/>
              <w:jc w:val="both"/>
              <w:rPr>
                <w:rFonts w:ascii="Times New Roman" w:hAnsi="Times New Roman"/>
                <w:sz w:val="24"/>
                <w:szCs w:val="24"/>
                <w:lang w:val="uk-UA"/>
              </w:rPr>
            </w:pPr>
            <w:r w:rsidRPr="002F4F97">
              <w:rPr>
                <w:rFonts w:ascii="Times New Roman" w:hAnsi="Times New Roman"/>
                <w:sz w:val="24"/>
                <w:szCs w:val="24"/>
                <w:lang w:val="uk-UA"/>
              </w:rPr>
              <w:t>Кількість</w:t>
            </w:r>
            <w:r>
              <w:rPr>
                <w:rFonts w:ascii="Times New Roman" w:hAnsi="Times New Roman"/>
                <w:sz w:val="24"/>
                <w:szCs w:val="24"/>
                <w:lang w:val="uk-UA"/>
              </w:rPr>
              <w:t xml:space="preserve"> </w:t>
            </w:r>
            <w:r w:rsidRPr="002F4F97">
              <w:rPr>
                <w:rFonts w:ascii="Times New Roman" w:hAnsi="Times New Roman"/>
                <w:sz w:val="24"/>
                <w:szCs w:val="24"/>
                <w:lang w:val="uk-UA"/>
              </w:rPr>
              <w:t>хворих на СНІД, що</w:t>
            </w:r>
            <w:r>
              <w:rPr>
                <w:rFonts w:ascii="Times New Roman" w:hAnsi="Times New Roman"/>
                <w:sz w:val="24"/>
                <w:szCs w:val="24"/>
                <w:lang w:val="uk-UA"/>
              </w:rPr>
              <w:t xml:space="preserve"> </w:t>
            </w:r>
            <w:r w:rsidRPr="002F4F97">
              <w:rPr>
                <w:rFonts w:ascii="Times New Roman" w:hAnsi="Times New Roman"/>
                <w:sz w:val="24"/>
                <w:szCs w:val="24"/>
                <w:lang w:val="uk-UA"/>
              </w:rPr>
              <w:t>перебувають на обліку у медичних закладах на кінець року, осіб</w:t>
            </w:r>
          </w:p>
        </w:tc>
        <w:tc>
          <w:tcPr>
            <w:tcW w:w="993" w:type="dxa"/>
            <w:tcBorders>
              <w:top w:val="nil"/>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107</w:t>
            </w:r>
          </w:p>
        </w:tc>
        <w:tc>
          <w:tcPr>
            <w:tcW w:w="995" w:type="dxa"/>
            <w:tcBorders>
              <w:top w:val="nil"/>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115</w:t>
            </w:r>
          </w:p>
        </w:tc>
        <w:tc>
          <w:tcPr>
            <w:tcW w:w="1186" w:type="dxa"/>
            <w:tcBorders>
              <w:top w:val="nil"/>
              <w:left w:val="nil"/>
              <w:bottom w:val="single" w:sz="4" w:space="0" w:color="auto"/>
              <w:right w:val="single" w:sz="4" w:space="0" w:color="auto"/>
            </w:tcBorders>
            <w:noWrap/>
            <w:vAlign w:val="bottom"/>
          </w:tcPr>
          <w:p w:rsidR="00497C3E" w:rsidRPr="002F4F97" w:rsidRDefault="00497C3E" w:rsidP="007F69EE">
            <w:pPr>
              <w:spacing w:after="0" w:line="240" w:lineRule="auto"/>
              <w:jc w:val="right"/>
              <w:rPr>
                <w:rFonts w:ascii="Times New Roman" w:hAnsi="Times New Roman"/>
                <w:sz w:val="24"/>
                <w:szCs w:val="24"/>
                <w:lang w:val="uk-UA"/>
              </w:rPr>
            </w:pPr>
            <w:r w:rsidRPr="002F4F97">
              <w:rPr>
                <w:rFonts w:ascii="Times New Roman" w:hAnsi="Times New Roman"/>
                <w:sz w:val="24"/>
                <w:szCs w:val="24"/>
                <w:lang w:val="uk-UA"/>
              </w:rPr>
              <w:t>132</w:t>
            </w:r>
          </w:p>
        </w:tc>
      </w:tr>
    </w:tbl>
    <w:p w:rsidR="00497C3E" w:rsidRPr="002F4F97" w:rsidRDefault="00497C3E" w:rsidP="007F69EE">
      <w:pPr>
        <w:pStyle w:val="14pt"/>
        <w:ind w:firstLine="708"/>
        <w:rPr>
          <w:b w:val="0"/>
          <w:lang w:val="uk-UA"/>
        </w:rPr>
      </w:pPr>
    </w:p>
    <w:p w:rsidR="00497C3E" w:rsidRPr="002F4F97" w:rsidRDefault="00497C3E" w:rsidP="007F69EE">
      <w:pPr>
        <w:pStyle w:val="14pt"/>
        <w:ind w:firstLine="708"/>
        <w:rPr>
          <w:b w:val="0"/>
          <w:lang w:val="uk-UA"/>
        </w:rPr>
      </w:pPr>
      <w:r w:rsidRPr="002F4F97">
        <w:rPr>
          <w:b w:val="0"/>
          <w:lang w:val="uk-UA"/>
        </w:rPr>
        <w:t>Збільшилась захворюваність населення активним туберкульозом на 4,22% в 2018 році.</w:t>
      </w:r>
    </w:p>
    <w:p w:rsidR="00497C3E" w:rsidRPr="002F4F97" w:rsidRDefault="00497C3E" w:rsidP="007F69EE">
      <w:pPr>
        <w:pStyle w:val="14pt"/>
        <w:ind w:firstLine="708"/>
        <w:rPr>
          <w:b w:val="0"/>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недосконала матеріально-технічна база лікувально-профілактичних закладів.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надання якісної медичної допомоги населенню міста;</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надання первинної медико-санітарної допомоги.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впровадження реформи системи охорони здоров’я;</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високої якості надання медичної допомоги в лікувально-профілактичних закладах.</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зниження смертності дітей до 1 року на 10,5%;</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зниження рівня захворюваності туберкульозом на 0,5%;</w:t>
      </w:r>
    </w:p>
    <w:p w:rsidR="00497C3E" w:rsidRPr="002F4F97" w:rsidRDefault="00497C3E" w:rsidP="00487FF9">
      <w:pPr>
        <w:numPr>
          <w:ilvl w:val="0"/>
          <w:numId w:val="19"/>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зменшення кількості захворювань системи кровообігу на 0,5%.</w:t>
      </w:r>
    </w:p>
    <w:p w:rsidR="00497C3E" w:rsidRPr="002F4F97" w:rsidRDefault="00497C3E" w:rsidP="008217EA">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6B3A49">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Освіта</w:t>
      </w:r>
    </w:p>
    <w:p w:rsidR="00497C3E" w:rsidRPr="002F4F97" w:rsidRDefault="00497C3E" w:rsidP="008A46A2">
      <w:pPr>
        <w:spacing w:after="0" w:line="240" w:lineRule="auto"/>
        <w:ind w:firstLine="709"/>
        <w:jc w:val="both"/>
        <w:rPr>
          <w:rFonts w:ascii="Times New Roman" w:hAnsi="Times New Roman"/>
          <w:sz w:val="28"/>
          <w:szCs w:val="28"/>
          <w:lang w:val="uk-UA"/>
        </w:rPr>
      </w:pPr>
    </w:p>
    <w:p w:rsidR="00497C3E" w:rsidRPr="002F4F97" w:rsidRDefault="00497C3E" w:rsidP="008217EA">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Мережа закладів освіти м. Лисичанська у 2018 році складає 21 заклад загальної середньої освіти, 2 заклади позашкільної освіти, 16 закладів дошкільної освіти (з них 14 комунальної форми власності).</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У 2017/2018 навчальному році контингент учнів шкіл міста складав 8 301 особу на 380 класів. На початок 2018/2019 навчального року у 368 класах навчається 8 607 учнів, що свідчить про збереження контингенту учнів шкіл міста. Всього у 2018-2019 навчальному році функціонують 27 інклюзивних класів для 49 дітей з особливими освітніми потребами, з них у Лисичанській загальноосвітній школі І-ІІІ ступенів № 2 відкриті 3 класи для </w:t>
      </w:r>
      <w:r w:rsidRPr="002F4F97">
        <w:rPr>
          <w:rFonts w:ascii="Times New Roman" w:hAnsi="Times New Roman"/>
          <w:sz w:val="28"/>
          <w:szCs w:val="28"/>
          <w:lang w:val="uk-UA"/>
        </w:rPr>
        <w:lastRenderedPageBreak/>
        <w:t>8 дітей з особливими освітніми потребами, у КЗ «Лисичанська загальноосвітня школа І-ІІ ступенів № 5» та Лисичанській загальноосвітній школі І-ІІ ступенів № 24 по одному класу для одного такого учня, у Лисичанській загальноосвітній школі І-ІІ ступенів № 9 працює 3 класи для 8 учнів, у КЗ «Лисичанська загальноосвітня школа І-ІІІ ступенів № 12» 7 класів для 10 учнів, у КЗ «Лисичанська загальноосвітня школа І-ІІІ ступенів № 13» 2 класи для 4 учнів, у КЗ «Лисичанській загальноосвітній школи І-ІІ ступенів № 18» один клас для 3 учнів, у КЗ «НВК школа І-ІІ ступенів-ліцей «Гарант» 5 інклюзивних класів для 7 учнів, у Лисичанській загальноосвітній школі І-ІІІ ступенів № 14 відкриті 4 класи для 7 таких дітей.</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підсумками 2017/2018 навчального року: закінчили 9 класів 747 випускників, з низ 56 одержали свідоцтво з відзнакою; закінчили 11 класів 387 учнів, з них нагороджені золотою медаллю 13 випускників, срібною медаллю – 18. За екстернатною формою навчання отримали документи про загальну середню освіту 76 дітей з тимчасово непідконтрольних територій України.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 результатами 2017-2018 навчального року 52 учні, переможці обласних предметних олімпіад, конкурсу-захисту науково-дослідницьких робіт учнів-членів МАН, творчих конкурсів, та 43 педагоги, які працюють з ними, нагороджені грамотами відділу освіти та грошовими винагородами на загальну суму 50 тисяч грн., які виділені Лисичанською міською радою з міського бюджету.</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першій половині 2018 року безкоштовним харчуванням були забезпечені учні з числа дітей-сиріт, дітей, залишених без батьківського піклування, дітей з малозабезпечених сімей, дітей з особливими освітніми потребами з інклюзивних класів навчання та дітей з сімей учасників бойових дій, які захищали суверенітет та територіальну цілісність України і брали безпосередню участь в антитерористичній операції у період її проведення, перебуваючи безпосередньо в районах антитерористичної операції у період її проведення, у здійснені заходів із забезпечення національної безпеки і оборони, відсічі і стримування збройної агресії Російської Федерації у Донецькій та Луганській областях, забезпеченні їх здійснення, перебуваючи безпосередньо в районах та у період здійснення зазначених заходів на суму 12 грн. на день, учні 1-4 класів на суму 10 грн. на день.</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оздоровлення дітей шкільного віку відділом освіти організована робота літніх мовних пришкільних таборів з денною формою перебування. В 19 пришкільних таборах за кошти місцевого бюджету впродовж червня та липня 2018 року оздоровлено 1 620 дітей пільгових категорій. На оздоровлення дітей витрачена сума в розмірі 430 920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2 630 учнів здобувають позашкільну освіту в 179 гуртках, що працюють у Центрі позашкільної роботи зі школярами і молоддю та Центрі науково-технічної творчості учнівської молоді.</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В закладах дошкільної освіти виховується 2 385 дітей у віці від 2 до 7 років. В шести закладах дошкільної освіти функціонують 8 спеціалізованих груп для дітей з порушеннями зору (3 групи) та з порушеннями мовлення (5 </w:t>
      </w:r>
      <w:r w:rsidRPr="002F4F97">
        <w:rPr>
          <w:rFonts w:ascii="Times New Roman" w:hAnsi="Times New Roman"/>
          <w:sz w:val="28"/>
          <w:szCs w:val="28"/>
          <w:lang w:val="uk-UA"/>
        </w:rPr>
        <w:lastRenderedPageBreak/>
        <w:t>груп). В шести закладах дошкільної освіти функціонують логопедичні пункти.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закладах дошкільної освіти у попередньому навчальному році функціонували 4 інклюзивні групи, їх відвідували 9 дітей. З 01.09.2018 шляхом реорганізації додатково відкриті 4 інклюзивні групи.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Таким чином, загалом у місті в шести закладах дошкільної освіти функціонують 9 інклюзивних груп, які відвідують 18 дітей з особливими освітніми потребами. Це заклади № 3 «Дюймовочка», де працює група для дітей з порушеннями опорно-рухового апарату, № 5 «Усмішка» – для дітей з інтелектуальними порушеннями, № 6 «Чайка» – де 1 група – для дітей з порушеннями зорової функції, та ще одна – для дітей з інтелектуальними порушеннями, № 7 «Іскорка» – 2 групи для дітей з затримкою психічного розвитку та синдромом аутизму, № 8 «Світлячок» – одна група для дітей з інтелектуальними порушеннями та № 13 «Ромашка» – дві групи для дітей з інтелектуальними порушеннями.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виконання Розпорядження Кабінету Міністрів України від 6 грудня 2017 р. № 871-р </w:t>
      </w:r>
      <w:bookmarkStart w:id="13" w:name="n3"/>
      <w:bookmarkEnd w:id="13"/>
      <w:r w:rsidRPr="002F4F97">
        <w:rPr>
          <w:rFonts w:ascii="Times New Roman" w:hAnsi="Times New Roman"/>
          <w:sz w:val="28"/>
          <w:szCs w:val="28"/>
          <w:lang w:val="uk-UA"/>
        </w:rPr>
        <w:t>»Про затвердження плану дій на 2017-2019 роки поетапного створення додаткових місць у закладах освіти для дітей дошкільного віку» з 01.09.2018 в закладі дошкільної освіти № 7 «Іскорка» відкрита додаткова група на 15 місць для дітей дошкільного віку. Група, відповідно до потреб громади міста, функціонує як інклюзивна.</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якісної підготовки закладів освіти міста Лисичанська до нового 2018-2019 навчального року та осінньо-зимового періоду, по всіх навчальних закладах виконані поточні ремонтні роботи внутрішніх приміщень навчальних закладів (фарбування, заміна шпалер тощо), систем опалення та водопостачання, проведена ревізія або заміна запірної арматури, часткова заміна аварійних ділянок металевих труб на пластикові. Зроблена Держповірка вузлів обліку тепла, води відповідно до графіку. Косметичний ремонт харчоблоків проведено в усіх закладах освіти.</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Виконані капітальні ремонти по встановленню металопластикових вікон з використанням скла з енергозберігаючим покриттям:</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у Лисичанській загальноосвітній школі I-III ст. № 4 Лисичанської міської ради Луганської області встановлено 46 вікон і 3 двері, на загальну суму 280 тис. грн.;</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у Лисичанському багатопрофільному ліцеї Лисичанської міської ради Луганської області встановлено 40 вікон на суму 390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Виконано роботи з капітального ремонту системи опалення Лисичанської багатопрофільної гімназії на суму 540 тис. грн. та комунального закладу «Навчально-виховний комплекс школа I-III ступенів-ліцей «Гарант» Лисичанської міської ради Луганської області» на суму 736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Проведені капітальні ремонти системи опалення з влаштуванням вузла обліку теплової енергії:</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у комунальному закладі «Лисичанський дошкільний навчальний заклад (ясла-садок) № 14 «Теремок» на суму 101,37 тис. грн.;</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у комунальному закладі «Лисичанський дошкільний навчальний заклад (ясла-садок) № 10» Малятко «на суму 131,96 тис. грн.;</w:t>
      </w:r>
    </w:p>
    <w:p w:rsidR="00497C3E" w:rsidRPr="002F4F97" w:rsidRDefault="00497C3E" w:rsidP="00FB2E61">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у комунальному закладі «Лисичанська загальноосвітня школа I-III ст. № 18 Лисичанської міської ради Луганської області» на суму 120,52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Проведено капітальний ремонт покрівлі в комунальному закладі «Лисичанський дошкільний навчальний заклад (ясла-садок) № 1 «Шпачок» на суму 76,974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зв’язку з відкриттям інклюзивно-ресурсного центру в приміщенні Лисичанської загальноосвітньої школи І-ІІ ст. № 9 Лисичанської міської ради Луганської області виконаний капітальний ремонт приміщень з переплануванням на суму 295,5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Для ЗЗСО № 8; № 30 придбані інтерактивні комплекси на суму 94,0 тис. грн.</w:t>
      </w:r>
    </w:p>
    <w:p w:rsidR="00497C3E" w:rsidRPr="002F4F97" w:rsidRDefault="00497C3E" w:rsidP="00FB2E6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закладах дошкільної освіти № 5 «Усмішка» та № 13 «Ромашка» встановлені шафи управління та обліку.</w:t>
      </w:r>
    </w:p>
    <w:p w:rsidR="00497C3E" w:rsidRPr="002F4F97" w:rsidRDefault="00497C3E" w:rsidP="008A46A2">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Внаслідок проведеної роботи всі заклади освіти міста були підготовлені до нового навчального року і роботи в осінньо-зимовий період.</w:t>
      </w:r>
    </w:p>
    <w:p w:rsidR="00497C3E" w:rsidRPr="002F4F97" w:rsidRDefault="00497C3E" w:rsidP="00FB2E61">
      <w:pPr>
        <w:spacing w:after="0" w:line="240" w:lineRule="auto"/>
        <w:ind w:firstLine="709"/>
        <w:jc w:val="both"/>
        <w:rPr>
          <w:rFonts w:ascii="Times New Roman" w:hAnsi="Times New Roman"/>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79419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передача закладів дошкільної освіти «Колосок» та «Калінушка» ПАТ «Лисичанськвугілля» у комунальну власність;</w:t>
      </w:r>
    </w:p>
    <w:p w:rsidR="00497C3E" w:rsidRPr="002F4F97" w:rsidRDefault="00497C3E" w:rsidP="0079419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вирішення питання </w:t>
      </w:r>
      <w:r w:rsidRPr="002F4F97">
        <w:rPr>
          <w:rFonts w:ascii="Times New Roman" w:hAnsi="Times New Roman"/>
          <w:sz w:val="28"/>
          <w:szCs w:val="28"/>
          <w:lang w:val="uk-UA" w:eastAsia="uk-UA"/>
        </w:rPr>
        <w:t>будівель закладів освіти, які не використовуються в освітньому процесі, щодо подальшої їх експлуатації;</w:t>
      </w:r>
    </w:p>
    <w:p w:rsidR="00497C3E" w:rsidRPr="002F4F97" w:rsidRDefault="00497C3E" w:rsidP="0079419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реалізація проекту «Капітальний ремонт даху КЗ «Лисичанська загальноосвітня школа І-ІІІ ступенів № 5 Лисичанської міської ради Луганської області»;</w:t>
      </w:r>
    </w:p>
    <w:p w:rsidR="00497C3E" w:rsidRPr="002F4F97" w:rsidRDefault="00497C3E" w:rsidP="0079419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архітектурної доступності будівель закладів освіти для осіб з інвалідністю та інших маломобільних груп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якості загальної середньої, дошкільної та позашкільної освіти у місті;</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створення належних умов для здійснення освітнього процесу;</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соціальний захист учнів та вихованців закладів освіти міста.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проведення комплексних капітальних ремонтів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впровадження заходів з підвищення енергоефективності та термомодернізації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здійснення робіт капітального ремонту зовнішніх огороджувальних конструкцій будівель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облаштування споруд для безперешкодного доступу осіб маломобільних груп населення (пандусів) до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встановлення систем протипожежної сигналізації, пристрою блискавкозахисту та обробка дерев’яних конструкцій закладів освіти;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придбання шкільних меблів, обладнання та меблів для шкільних їдалень, комп’ютерної техніки для закладів освіти з урахуванням вимог сучасної української школи;</w:t>
      </w:r>
    </w:p>
    <w:p w:rsidR="00497C3E" w:rsidRPr="002F4F97" w:rsidRDefault="00497C3E" w:rsidP="00036640">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відкриття додаткової групи в закладі дошкільної освіти № 3 «Дюймовочка».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задовольнити запити мешканців міста щодо влаштування дітей до дошкільних навчальних закладів;</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ru-RU"/>
        </w:rPr>
        <w:t>забезпечити рівний доступ усіх дітей до якісної освіти;</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покращити санітарно-гігієнічні умови здійснення навчально-виховного процесу у навчальних закладах міста, що є важливим чинником забезпечення якості освіти;</w:t>
      </w:r>
    </w:p>
    <w:p w:rsidR="00497C3E" w:rsidRPr="002F4F97" w:rsidRDefault="00497C3E" w:rsidP="00980CAE">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забезпечити більш ефективне використання енергоресурсів у навчальних закладах міста.</w:t>
      </w:r>
    </w:p>
    <w:p w:rsidR="00497C3E" w:rsidRPr="002F4F97" w:rsidRDefault="00497C3E" w:rsidP="00036640">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8A46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Культура</w:t>
      </w:r>
    </w:p>
    <w:p w:rsidR="00497C3E" w:rsidRPr="002F4F97" w:rsidRDefault="00497C3E" w:rsidP="00AD1BDB">
      <w:pPr>
        <w:spacing w:after="0" w:line="240" w:lineRule="auto"/>
        <w:ind w:firstLine="709"/>
        <w:jc w:val="both"/>
        <w:rPr>
          <w:rFonts w:ascii="Times New Roman" w:hAnsi="Times New Roman"/>
          <w:sz w:val="28"/>
          <w:szCs w:val="28"/>
          <w:lang w:val="uk-UA"/>
        </w:rPr>
      </w:pPr>
    </w:p>
    <w:p w:rsidR="00497C3E" w:rsidRPr="002F4F97" w:rsidRDefault="00497C3E" w:rsidP="00AD1BD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Мережа закладів культури складається з бібліотечної системи, до складу якої входять 10 бібліотек-філій; Лисичанського міського краєзнавчого музею; чотирьох дитячих шкіл мистецтв, трьох Палаців культури і кінотеатру «Дружба».</w:t>
      </w:r>
    </w:p>
    <w:p w:rsidR="00497C3E" w:rsidRPr="002F4F97" w:rsidRDefault="00497C3E" w:rsidP="00AD1BD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Основним напрямком роботи є збереження мережі комунальних закладів культури, поліпшення умов праці та укріплення матеріальної бази, створення комфортних умов для творчого розвитку громади. Робота галузі культури міста направлена на реалізацію основних організаційних, культурно-мистецьких, патріотичних та просвітницьких заходів, забезпечення функціонування комунальних закладів культури та прав на доступ до культурних цінностей громади міста.</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Діяльність концентрується на вирішенні основних завдань – відновлення та підвищення енергоефективності комунальних закладів культури, покращення їх матеріально-технічної бази, залучення міжнародних інвестицій, розвитку якісних культурно-мистецьких послуг. З цією метою на укріплення матеріально-технічної бази та проведення капітальних ремонтів з міського бюджету у 2018 році виділено асигнувань на загальну суму 2 330,39 тис. грн., у тому числі на проведення капітальних ремонтів – 1 669,23 тис. грн., на придбання звукопосилювальної апаратури в КЗ «ПК ім. В.М. Сосюри м. Лисичанська», музичних інструментів для мистецьких шкіл, вузла обліку теплової енергії у комплекті для ЛКП «Кінотеатр «Дружба» – 360,37 тис. грн., на виготовлення проектної документації на капітальні ремонти системи опалювання КЗ «Лисичанський міський ПК» та бібліотеки-філії № 8 КЗ «Лисичанська ЦБС» – 50,3 тис. грн.; на передплату періодичних видань для бібліотек КЗ «Лисичанська ЦБС» – 101,89 тис. грн.; на надання фінансової підтримки ЛКП «Кінотеатр «Дружба» – 148,6 тис. грн.</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lastRenderedPageBreak/>
        <w:t>Для вирішення питань поліпшення матеріальної бази, комунальні заклади культури у звітному періоді було продовжено роботу по підготовці інвестиційних проектів з метою залучення позабюджетних коштів на розвиток галузі культури міста. Чотири заклади культури прийняли участь у обласному конкурсі проектів місцевого розвитку, було розроблено та подано на розгляд 6 проектів, які не були підтримані конкурсною комісією.</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Крім того протягом року комунальними закладами культури, з метою залучення позабюджетних коштів, підготовлено 12 проектів на отримання міжнародної допомоги, 7 – знаходяться на розгляді, 1 проект підтримано та реалізується. Це мікропроект «Лисичанська громада, думає глобально, діє локально «В єднанні сила» в рамках проекту соціального згуртування громади «Сприяння сталому розвитку згуртуванню громад, що зазнали наслідків конфлікту на Донбасі» за підтримки Міжнародної організації міграції та уряду Японії. Метою та основним завданням проекту є мобілізація громади через залучення до організації та участі в соціально-культурних, мистецьких та розважальних заходах; реалізація творчих ініціатив, розвиток талантів та здібностей; проведення культурно-просвітницьких заходів.</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На реалізацію міської Програми з підготовки та проведення загальноміських культурно-мистецьких заходів на 2018 рік з міського бюджету було виділено 300,0 тис. грн. з них освоєно 298,0 тис. грн.</w:t>
      </w:r>
    </w:p>
    <w:p w:rsidR="00497C3E" w:rsidRPr="002F4F97" w:rsidRDefault="00497C3E" w:rsidP="002F4F97">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У 2018 році творчо обдарована молодь міста Лисичанська взяла участь в 75 конкурсах, у тому числі: 10 міжнародних, 21 всеукраїнському, 26 обласних конкурсах і зайняла 579 призових місць.</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недосконалий рівень матеріально-технічної бази закладів культури;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незадовільний технічний стан бібліотек міста;</w:t>
      </w:r>
    </w:p>
    <w:p w:rsidR="00497C3E" w:rsidRPr="002F4F97" w:rsidRDefault="00497C3E" w:rsidP="003B35BD">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старіння бібліотечних фондів;</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відсутність сучасного обладнання та оснащення приміщень експозиційних залів міського краєзнавчого музею, що впливає на якість проведення екскурсійної роботи.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впровадження сучасної моделі культурно-мистецького обслуговування населення міста;</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комфортних умов для творчого розвитку дітей та молоді;</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надання якісних інформаційних та бібліотечних послуг на сучасному рівні.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поліпшення технічного стану будівель та приміщень комунальних закладів культури;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поліпшення умов для якісного надання культурно-мистецьких, освітніх та інформаційних послуг населенню міста;</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оновлення технічного ресурсу;</w:t>
      </w:r>
    </w:p>
    <w:p w:rsidR="00497C3E" w:rsidRPr="002F4F97" w:rsidRDefault="00497C3E" w:rsidP="003B35BD">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залучення позабюджетних коштів для модернізації закладів культури.</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ролі закладів культури у контексті формування позитивного іміджу міста;</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розширення кола культурно-мистецьких, освітніх та інформаційних послуг для населення міста;</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якісного обслуговування користувачів бібліотек та збереження бібліотечних фондів;</w:t>
      </w:r>
    </w:p>
    <w:p w:rsidR="00497C3E" w:rsidRPr="002F4F97" w:rsidRDefault="00497C3E" w:rsidP="00B235A7">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якості надання науково-освітніх послуг населенню міста.</w:t>
      </w:r>
    </w:p>
    <w:p w:rsidR="00497C3E" w:rsidRPr="002F4F97" w:rsidRDefault="00497C3E" w:rsidP="00036640">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8A46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Фізична культура і спорт</w:t>
      </w:r>
    </w:p>
    <w:p w:rsidR="00497C3E" w:rsidRPr="002F4F97" w:rsidRDefault="00497C3E" w:rsidP="00E75922">
      <w:pPr>
        <w:spacing w:after="0" w:line="240" w:lineRule="auto"/>
        <w:ind w:firstLine="709"/>
        <w:jc w:val="both"/>
        <w:rPr>
          <w:rFonts w:ascii="Times New Roman" w:hAnsi="Times New Roman"/>
          <w:sz w:val="28"/>
          <w:szCs w:val="28"/>
          <w:lang w:val="uk-UA"/>
        </w:rPr>
      </w:pPr>
    </w:p>
    <w:p w:rsidR="00497C3E" w:rsidRPr="00E75922" w:rsidRDefault="00497C3E" w:rsidP="00E75922">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Спортивна база міста складається з 234 спортивних об'єктів.</w:t>
      </w:r>
      <w:r>
        <w:rPr>
          <w:rFonts w:ascii="Times New Roman" w:hAnsi="Times New Roman"/>
          <w:sz w:val="28"/>
          <w:szCs w:val="28"/>
          <w:lang w:val="uk-UA"/>
        </w:rPr>
        <w:t xml:space="preserve"> </w:t>
      </w:r>
      <w:r w:rsidRPr="00E75922">
        <w:rPr>
          <w:rFonts w:ascii="Times New Roman" w:hAnsi="Times New Roman"/>
          <w:sz w:val="28"/>
          <w:szCs w:val="28"/>
          <w:lang w:val="uk-UA"/>
        </w:rPr>
        <w:t>Загалом у місті осіб, які охоплені фізкультурно-</w:t>
      </w:r>
      <w:r>
        <w:rPr>
          <w:rFonts w:ascii="Times New Roman" w:hAnsi="Times New Roman"/>
          <w:sz w:val="28"/>
          <w:szCs w:val="28"/>
          <w:lang w:val="uk-UA"/>
        </w:rPr>
        <w:t>оздоровчою діяльністю 13 </w:t>
      </w:r>
      <w:r w:rsidRPr="00E75922">
        <w:rPr>
          <w:rFonts w:ascii="Times New Roman" w:hAnsi="Times New Roman"/>
          <w:sz w:val="28"/>
          <w:szCs w:val="28"/>
          <w:lang w:val="uk-UA"/>
        </w:rPr>
        <w:t>352 чол.</w:t>
      </w:r>
      <w:r>
        <w:rPr>
          <w:rFonts w:ascii="Times New Roman" w:hAnsi="Times New Roman"/>
          <w:sz w:val="28"/>
          <w:szCs w:val="28"/>
          <w:lang w:val="uk-UA"/>
        </w:rPr>
        <w:t xml:space="preserve"> </w:t>
      </w:r>
      <w:r w:rsidRPr="002F4F97">
        <w:rPr>
          <w:rFonts w:ascii="Times New Roman" w:hAnsi="Times New Roman"/>
          <w:sz w:val="28"/>
          <w:szCs w:val="28"/>
          <w:lang w:val="uk-UA"/>
        </w:rPr>
        <w:t xml:space="preserve">У сфері фізичної культури та спорту на території міста функціонують </w:t>
      </w:r>
      <w:r w:rsidRPr="00E75922">
        <w:rPr>
          <w:rFonts w:ascii="Times New Roman" w:hAnsi="Times New Roman"/>
          <w:sz w:val="28"/>
          <w:szCs w:val="28"/>
          <w:lang w:val="uk-UA"/>
        </w:rPr>
        <w:t>1 стадіон, 1 ДЮСШ, 3 спортивних комплекси, 41 спортивна зала, 1 плавальний басейн, спортивна культурно-оздоровча база «Лисичанець».</w:t>
      </w:r>
      <w:r>
        <w:rPr>
          <w:rFonts w:ascii="Times New Roman" w:hAnsi="Times New Roman"/>
          <w:sz w:val="28"/>
          <w:szCs w:val="28"/>
          <w:lang w:val="uk-UA"/>
        </w:rPr>
        <w:t xml:space="preserve"> </w:t>
      </w:r>
      <w:r w:rsidRPr="00E75922">
        <w:rPr>
          <w:rFonts w:ascii="Times New Roman" w:hAnsi="Times New Roman"/>
          <w:sz w:val="28"/>
          <w:szCs w:val="28"/>
          <w:lang w:val="uk-UA"/>
        </w:rPr>
        <w:t>На базі спортивних споруд міста діють 100 спортивних секцій, в яких займається 5</w:t>
      </w:r>
      <w:r>
        <w:rPr>
          <w:rFonts w:ascii="Times New Roman" w:hAnsi="Times New Roman"/>
          <w:sz w:val="28"/>
          <w:szCs w:val="28"/>
          <w:lang w:val="uk-UA"/>
        </w:rPr>
        <w:t> </w:t>
      </w:r>
      <w:r w:rsidRPr="00E75922">
        <w:rPr>
          <w:rFonts w:ascii="Times New Roman" w:hAnsi="Times New Roman"/>
          <w:sz w:val="28"/>
          <w:szCs w:val="28"/>
          <w:lang w:val="uk-UA"/>
        </w:rPr>
        <w:t>873 чол., з них молоді та неповнолітніх 2</w:t>
      </w:r>
      <w:r>
        <w:rPr>
          <w:rFonts w:ascii="Times New Roman" w:hAnsi="Times New Roman"/>
          <w:sz w:val="28"/>
          <w:szCs w:val="28"/>
          <w:lang w:val="uk-UA"/>
        </w:rPr>
        <w:t> </w:t>
      </w:r>
      <w:r w:rsidRPr="00E75922">
        <w:rPr>
          <w:rFonts w:ascii="Times New Roman" w:hAnsi="Times New Roman"/>
          <w:sz w:val="28"/>
          <w:szCs w:val="28"/>
          <w:lang w:val="uk-UA"/>
        </w:rPr>
        <w:t>962 чол.</w:t>
      </w:r>
    </w:p>
    <w:p w:rsidR="00497C3E" w:rsidRPr="00E75922" w:rsidRDefault="00497C3E" w:rsidP="00E75922">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КЗ «ЛМДЮСШ», має структурні підрозділи: спортивно-культурна оздоровча база «Лисичанець», стадіон «Шахтар», адміністративна будівля ЖЕК № 5 (спортивний корпус «Південний»), спортивна зала «Скляр», футбольне поле «Скляр», спортивна зала «Пролетарій», в яких займаються 792 дитини з 15 видів спорту.</w:t>
      </w:r>
      <w:r>
        <w:rPr>
          <w:rFonts w:ascii="Times New Roman" w:hAnsi="Times New Roman"/>
          <w:sz w:val="28"/>
          <w:szCs w:val="28"/>
          <w:lang w:val="uk-UA"/>
        </w:rPr>
        <w:t xml:space="preserve"> </w:t>
      </w:r>
      <w:r w:rsidRPr="00E75922">
        <w:rPr>
          <w:rFonts w:ascii="Times New Roman" w:hAnsi="Times New Roman"/>
          <w:sz w:val="28"/>
          <w:szCs w:val="28"/>
          <w:lang w:val="uk-UA"/>
        </w:rPr>
        <w:t>Працює 34 тренери, з яких 26 штатні.</w:t>
      </w:r>
    </w:p>
    <w:p w:rsidR="00497C3E" w:rsidRPr="00E75922" w:rsidRDefault="00497C3E" w:rsidP="00E75922">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Протягом 2018 року представники нашого міста прийняли участь у 138 спортивних змаганнях:</w:t>
      </w:r>
    </w:p>
    <w:p w:rsidR="00497C3E" w:rsidRPr="00E75922" w:rsidRDefault="00497C3E" w:rsidP="00E7592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E75922">
        <w:rPr>
          <w:rFonts w:ascii="Times New Roman" w:hAnsi="Times New Roman"/>
          <w:sz w:val="28"/>
          <w:szCs w:val="28"/>
          <w:lang w:val="uk-UA" w:eastAsia="uk-UA"/>
        </w:rPr>
        <w:t xml:space="preserve">27 </w:t>
      </w:r>
      <w:r>
        <w:rPr>
          <w:rFonts w:ascii="Times New Roman" w:hAnsi="Times New Roman"/>
          <w:sz w:val="28"/>
          <w:szCs w:val="28"/>
          <w:lang w:val="uk-UA" w:eastAsia="uk-UA"/>
        </w:rPr>
        <w:t>в</w:t>
      </w:r>
      <w:r w:rsidRPr="00E75922">
        <w:rPr>
          <w:rFonts w:ascii="Times New Roman" w:hAnsi="Times New Roman"/>
          <w:sz w:val="28"/>
          <w:szCs w:val="28"/>
          <w:lang w:val="uk-UA" w:eastAsia="uk-UA"/>
        </w:rPr>
        <w:t>сеукраїнських, де вибороли 100 золотих, 98 срібних, 89 бронзових нагород;</w:t>
      </w:r>
    </w:p>
    <w:p w:rsidR="00497C3E" w:rsidRPr="00E75922" w:rsidRDefault="00497C3E" w:rsidP="00E7592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E75922">
        <w:rPr>
          <w:rFonts w:ascii="Times New Roman" w:hAnsi="Times New Roman"/>
          <w:sz w:val="28"/>
          <w:szCs w:val="28"/>
          <w:lang w:val="uk-UA" w:eastAsia="uk-UA"/>
        </w:rPr>
        <w:t>81 обласних, де вибороли 524 золотих, 288 срібних, 351 бронзових нагород;</w:t>
      </w:r>
    </w:p>
    <w:p w:rsidR="00497C3E" w:rsidRPr="00E75922" w:rsidRDefault="00497C3E" w:rsidP="00E7592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E75922">
        <w:rPr>
          <w:rFonts w:ascii="Times New Roman" w:hAnsi="Times New Roman"/>
          <w:sz w:val="28"/>
          <w:szCs w:val="28"/>
          <w:lang w:val="uk-UA" w:eastAsia="uk-UA"/>
        </w:rPr>
        <w:t>30 міських, де вибороли 355 золоту, 341 срібних, 279 бронзові нагороди.</w:t>
      </w:r>
    </w:p>
    <w:p w:rsidR="00497C3E" w:rsidRPr="00E75922" w:rsidRDefault="00497C3E" w:rsidP="00E75922">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 xml:space="preserve">На проведення міських спортивних заходів та забезпечення участі збірних команд міста у обласних та </w:t>
      </w:r>
      <w:r>
        <w:rPr>
          <w:rFonts w:ascii="Times New Roman" w:hAnsi="Times New Roman"/>
          <w:sz w:val="28"/>
          <w:szCs w:val="28"/>
          <w:lang w:val="uk-UA"/>
        </w:rPr>
        <w:t>В</w:t>
      </w:r>
      <w:r w:rsidRPr="00E75922">
        <w:rPr>
          <w:rFonts w:ascii="Times New Roman" w:hAnsi="Times New Roman"/>
          <w:sz w:val="28"/>
          <w:szCs w:val="28"/>
          <w:lang w:val="uk-UA"/>
        </w:rPr>
        <w:t xml:space="preserve">сеукраїнських юнацьких спортивних іграх з олімпійських та не олімпійських видів спорту та інших спортивно-масових заходах серед учнівської молоді з міського бюджету були виділені кошти у сумі </w:t>
      </w:r>
      <w:r>
        <w:rPr>
          <w:rFonts w:ascii="Times New Roman" w:hAnsi="Times New Roman"/>
          <w:sz w:val="28"/>
          <w:szCs w:val="28"/>
          <w:lang w:val="uk-UA"/>
        </w:rPr>
        <w:t>119 800 грн</w:t>
      </w:r>
      <w:r w:rsidRPr="00E75922">
        <w:rPr>
          <w:rFonts w:ascii="Times New Roman" w:hAnsi="Times New Roman"/>
          <w:sz w:val="28"/>
          <w:szCs w:val="28"/>
          <w:lang w:val="uk-UA"/>
        </w:rPr>
        <w:t>.</w:t>
      </w:r>
    </w:p>
    <w:p w:rsidR="00497C3E" w:rsidRPr="00E75922" w:rsidRDefault="00497C3E" w:rsidP="00E75922">
      <w:pPr>
        <w:spacing w:after="0" w:line="240" w:lineRule="auto"/>
        <w:ind w:firstLine="709"/>
        <w:jc w:val="both"/>
        <w:rPr>
          <w:rFonts w:ascii="Times New Roman" w:hAnsi="Times New Roman"/>
          <w:sz w:val="28"/>
          <w:szCs w:val="28"/>
          <w:lang w:val="uk-UA"/>
        </w:rPr>
      </w:pPr>
    </w:p>
    <w:p w:rsidR="00497C3E" w:rsidRPr="002F4F97" w:rsidRDefault="00497C3E" w:rsidP="00E75922">
      <w:pPr>
        <w:spacing w:after="0" w:line="240" w:lineRule="auto"/>
        <w:ind w:firstLine="709"/>
        <w:jc w:val="both"/>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недостатньо налагоджена система матеріально-технічного, науково-методичного та медичного забезпечення при підготовці спортсменів високого рівня;</w:t>
      </w:r>
    </w:p>
    <w:p w:rsidR="00497C3E"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низький рівень забезпеченості населення регіону спортивними спорудами;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відсутність коштів на виготовлення та оновлення проектно-кошторисної документації спортивних об’єктів, для подальшого подання їх на ремонт та реконструкцію з коштів ДФРР;</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рівень фінансування заходів регіональних програм.</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популяризація ведення здорового способу життя;</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розвиток олімпійських і не олімпійських видів спорту;</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розвиток дитячо-юнацького та резервного спорту.</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виготовлення проектно-кошторисної документації міської спортивної культурно-оздоровчої бази (СКОБ) «Лисичанець» для подання на реконструкцію з ДФРР;</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поліпшення матеріально-технічного стану закладів сфери фізичної культури і спорту;</w:t>
      </w:r>
    </w:p>
    <w:p w:rsidR="00497C3E"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стимулювання праці спортсменів і тренерів для розвитку спорту вищих досягнень;</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CE69FD">
        <w:rPr>
          <w:rFonts w:ascii="Times New Roman" w:hAnsi="Times New Roman"/>
          <w:sz w:val="28"/>
          <w:szCs w:val="28"/>
          <w:lang w:val="uk-UA" w:eastAsia="uk-UA"/>
        </w:rPr>
        <w:t>закінчення оформлення земельних ділянок під спо</w:t>
      </w:r>
      <w:r>
        <w:rPr>
          <w:rFonts w:ascii="Times New Roman" w:hAnsi="Times New Roman"/>
          <w:sz w:val="28"/>
          <w:szCs w:val="28"/>
          <w:lang w:val="uk-UA" w:eastAsia="uk-UA"/>
        </w:rPr>
        <w:t>ртивними спорудами та об’єктами;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проведення фізкультурно-масових та спортивно-оздоровчих заходів за місцем проживання та у місцях масового відпочинку громадян, зокрема інвалідів.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розвиток спорту вищих досягнень;</w:t>
      </w:r>
    </w:p>
    <w:p w:rsidR="00497C3E" w:rsidRPr="002F4F97"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збільшення кількості громадян, залучених до фізкультурно-оздоровчої та спортивно-масової роботи;</w:t>
      </w:r>
    </w:p>
    <w:p w:rsidR="00497C3E" w:rsidRDefault="00497C3E" w:rsidP="00867AAA">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покращання матеріально-технічного стану об’єктів спортивної інфраструктури.</w:t>
      </w:r>
    </w:p>
    <w:p w:rsidR="00497C3E" w:rsidRPr="002F4F97" w:rsidRDefault="00497C3E" w:rsidP="002F4F97">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8A46A2">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Створення умов соціалізації сім’ї та молоді</w:t>
      </w:r>
    </w:p>
    <w:p w:rsidR="00497C3E" w:rsidRDefault="00497C3E" w:rsidP="003C15F1">
      <w:pPr>
        <w:spacing w:after="0" w:line="240" w:lineRule="auto"/>
        <w:ind w:firstLine="709"/>
        <w:jc w:val="both"/>
        <w:rPr>
          <w:rFonts w:ascii="Times New Roman" w:hAnsi="Times New Roman"/>
          <w:sz w:val="28"/>
          <w:szCs w:val="28"/>
          <w:lang w:val="uk-UA"/>
        </w:rPr>
      </w:pPr>
    </w:p>
    <w:p w:rsidR="00497C3E" w:rsidRPr="002F4F97" w:rsidRDefault="00497C3E" w:rsidP="003C15F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Молодіжна політика має 3 основних напрямки:</w:t>
      </w:r>
    </w:p>
    <w:p w:rsidR="00497C3E" w:rsidRPr="002F4F97" w:rsidRDefault="00497C3E" w:rsidP="003C15F1">
      <w:pPr>
        <w:pStyle w:val="a8"/>
        <w:numPr>
          <w:ilvl w:val="0"/>
          <w:numId w:val="18"/>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популяризація здорового способу життя та профілактика негативних явищ у молодіжному середовищі;</w:t>
      </w:r>
    </w:p>
    <w:p w:rsidR="00497C3E" w:rsidRPr="002F4F97" w:rsidRDefault="00497C3E" w:rsidP="003C15F1">
      <w:pPr>
        <w:pStyle w:val="a8"/>
        <w:numPr>
          <w:ilvl w:val="0"/>
          <w:numId w:val="18"/>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національно-патріотичне виховання молоді;</w:t>
      </w:r>
    </w:p>
    <w:p w:rsidR="00497C3E" w:rsidRPr="002F4F97" w:rsidRDefault="00497C3E" w:rsidP="003C15F1">
      <w:pPr>
        <w:pStyle w:val="a8"/>
        <w:numPr>
          <w:ilvl w:val="0"/>
          <w:numId w:val="18"/>
        </w:numPr>
        <w:tabs>
          <w:tab w:val="left" w:pos="1276"/>
        </w:tabs>
        <w:spacing w:after="0" w:line="240" w:lineRule="auto"/>
        <w:ind w:left="0" w:firstLine="709"/>
        <w:jc w:val="both"/>
        <w:rPr>
          <w:rFonts w:ascii="Times New Roman" w:hAnsi="Times New Roman"/>
          <w:sz w:val="28"/>
          <w:szCs w:val="28"/>
          <w:lang w:val="uk-UA"/>
        </w:rPr>
      </w:pPr>
      <w:r w:rsidRPr="002F4F97">
        <w:rPr>
          <w:rFonts w:ascii="Times New Roman" w:hAnsi="Times New Roman"/>
          <w:sz w:val="28"/>
          <w:szCs w:val="28"/>
          <w:lang w:val="uk-UA"/>
        </w:rPr>
        <w:t>розвиток творчих здібностей та підтримки обдарованої молоді.</w:t>
      </w:r>
    </w:p>
    <w:p w:rsidR="00497C3E" w:rsidRPr="002F4F97" w:rsidRDefault="00497C3E" w:rsidP="003C15F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 метою активізації поширення руху молодіжних трудових загонів, залучення учасників загонів до громадсько-корисної праці були створені умови для залучення молоді до роботи в молодіжних трудових загонах та надана методична та практична допомога керівникам загонів.</w:t>
      </w:r>
    </w:p>
    <w:p w:rsidR="00497C3E" w:rsidRDefault="00497C3E" w:rsidP="003C15F1">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 xml:space="preserve">Постійно ведеться робота щодо розвитку громадянської активності у молоді, надання підтримки молодіжним та дитячим громадським організаціям, формування активної громадянської патріотичної позиції </w:t>
      </w:r>
      <w:r w:rsidRPr="002F4F97">
        <w:rPr>
          <w:rFonts w:ascii="Times New Roman" w:hAnsi="Times New Roman"/>
          <w:sz w:val="28"/>
          <w:szCs w:val="28"/>
          <w:lang w:val="uk-UA"/>
        </w:rPr>
        <w:lastRenderedPageBreak/>
        <w:t>молодого покоління, залучення його до участі в житті територіальної громади міста, сприяння розвитку волонтерського руху в місті та діяльності волонтерів у сфері профілактики негативних явищ та формуванні здорового способу життя у молодіжному середовищі.</w:t>
      </w:r>
    </w:p>
    <w:p w:rsidR="00497C3E" w:rsidRPr="008D3F62" w:rsidRDefault="008D3F62" w:rsidP="004A13A7">
      <w:pPr>
        <w:spacing w:after="0" w:line="240" w:lineRule="auto"/>
        <w:ind w:firstLine="709"/>
        <w:jc w:val="both"/>
        <w:rPr>
          <w:rFonts w:ascii="Times New Roman" w:hAnsi="Times New Roman"/>
          <w:sz w:val="28"/>
          <w:szCs w:val="28"/>
          <w:lang w:val="uk-UA"/>
        </w:rPr>
      </w:pPr>
      <w:r>
        <w:rPr>
          <w:rFonts w:ascii="Times New Roman" w:hAnsi="Times New Roman"/>
          <w:sz w:val="28"/>
          <w:szCs w:val="28"/>
          <w:lang w:val="uk-UA"/>
        </w:rPr>
        <w:t>Ведеться робота з</w:t>
      </w:r>
      <w:r w:rsidR="00497C3E" w:rsidRPr="008D3F62">
        <w:rPr>
          <w:rFonts w:ascii="Times New Roman" w:hAnsi="Times New Roman"/>
          <w:sz w:val="28"/>
          <w:szCs w:val="28"/>
          <w:lang w:val="uk-UA"/>
        </w:rPr>
        <w:t xml:space="preserve"> розвитку молодіжного Центру вуличних культур «Дружба», створеного на базі КП «Кінотеатр Дружба» у 2018 році.</w:t>
      </w:r>
    </w:p>
    <w:p w:rsidR="00497C3E" w:rsidRPr="00E75922" w:rsidRDefault="00497C3E" w:rsidP="004A13A7">
      <w:pPr>
        <w:spacing w:after="0" w:line="240" w:lineRule="auto"/>
        <w:ind w:firstLine="709"/>
        <w:jc w:val="both"/>
        <w:rPr>
          <w:rFonts w:ascii="Times New Roman" w:hAnsi="Times New Roman"/>
          <w:sz w:val="28"/>
          <w:szCs w:val="28"/>
          <w:lang w:val="uk-UA"/>
        </w:rPr>
      </w:pPr>
      <w:r w:rsidRPr="00E75922">
        <w:rPr>
          <w:rFonts w:ascii="Times New Roman" w:hAnsi="Times New Roman"/>
          <w:sz w:val="28"/>
          <w:szCs w:val="28"/>
          <w:lang w:val="uk-UA"/>
        </w:rPr>
        <w:t>Різними формами відпочинку та оздоровлення протягом 2018 р. охоплено 3</w:t>
      </w:r>
      <w:r>
        <w:rPr>
          <w:rFonts w:ascii="Times New Roman" w:hAnsi="Times New Roman"/>
          <w:sz w:val="28"/>
          <w:szCs w:val="28"/>
          <w:lang w:val="uk-UA"/>
        </w:rPr>
        <w:t> </w:t>
      </w:r>
      <w:r w:rsidRPr="00E75922">
        <w:rPr>
          <w:rFonts w:ascii="Times New Roman" w:hAnsi="Times New Roman"/>
          <w:sz w:val="28"/>
          <w:szCs w:val="28"/>
          <w:lang w:val="uk-UA"/>
        </w:rPr>
        <w:t>835 дитини, з них 3</w:t>
      </w:r>
      <w:r>
        <w:rPr>
          <w:rFonts w:ascii="Times New Roman" w:hAnsi="Times New Roman"/>
          <w:sz w:val="28"/>
          <w:szCs w:val="28"/>
          <w:lang w:val="uk-UA"/>
        </w:rPr>
        <w:t> </w:t>
      </w:r>
      <w:r w:rsidRPr="00E75922">
        <w:rPr>
          <w:rFonts w:ascii="Times New Roman" w:hAnsi="Times New Roman"/>
          <w:sz w:val="28"/>
          <w:szCs w:val="28"/>
          <w:lang w:val="uk-UA"/>
        </w:rPr>
        <w:t>489 дітей пільгових категорій.</w:t>
      </w:r>
    </w:p>
    <w:p w:rsidR="00497C3E" w:rsidRPr="002F4F97" w:rsidRDefault="00497C3E" w:rsidP="003C15F1">
      <w:pPr>
        <w:spacing w:after="0" w:line="240" w:lineRule="auto"/>
        <w:ind w:firstLine="709"/>
        <w:jc w:val="both"/>
        <w:rPr>
          <w:rFonts w:ascii="Times New Roman" w:hAnsi="Times New Roman"/>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рівень повноцінного і самодостатнього функціонування сімей, народжування та виховання в них дітей;</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інертність молоді міста щодо інтеграції до світової та європейської спільноти;</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недостатній рівень фінансування заходів регіональних програм з сімейної, молодіжної політики та організації оздоровлення.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забезпечення якісного відпочинку і оздоровлення дітей;</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створення сприятливих передумов для життєвого самовизначення та самореалізації молоді;</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 xml:space="preserve">сприяння становленню інституту сім’ї та його розвитку; </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досягнення паритетного становища жінок і чоловіків Луганської області в усіх сферах життєдіяльності суспільства.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вдосконалення системи оздоровлення та організація змістового відпочинку дітей-сиріт та дітей, позбавлених батьківського піклування;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створенню сприятливого середовища для забезпечення вторинної зайнятості молоді;</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підтримці та розвитку молодіжного руху, утвердження патріотизму, духовності, моральності та пропаганда здорового способу життя;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розвитку сімейних цінностей та традицій;</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створення умов для утвердження гендерної рівності у всіх сферах життєдіяльності населення.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збільшення рівня охоплення молоді молодіжними трудовими загонами;</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4D59F6">
        <w:rPr>
          <w:rFonts w:ascii="Times New Roman" w:hAnsi="Times New Roman"/>
          <w:sz w:val="28"/>
          <w:szCs w:val="28"/>
          <w:lang w:val="uk-UA"/>
        </w:rPr>
        <w:t>формування патріотично-орієнтованих, культурних потреб молоді, підвищення громадської свідомості і активної життєвої позиції молоді</w:t>
      </w:r>
      <w:r>
        <w:rPr>
          <w:rFonts w:ascii="Times New Roman" w:hAnsi="Times New Roman"/>
          <w:sz w:val="28"/>
          <w:szCs w:val="28"/>
          <w:lang w:val="uk-UA"/>
        </w:rPr>
        <w:t>;</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збільшення рівня охоплення населення профілактично-просвітницькими заходами.</w:t>
      </w:r>
    </w:p>
    <w:p w:rsidR="00497C3E" w:rsidRDefault="000815DA" w:rsidP="000815DA">
      <w:pPr>
        <w:numPr>
          <w:ilvl w:val="0"/>
          <w:numId w:val="2"/>
        </w:numPr>
        <w:tabs>
          <w:tab w:val="left" w:pos="1276"/>
        </w:tabs>
        <w:spacing w:after="0" w:line="240" w:lineRule="auto"/>
        <w:ind w:left="0" w:firstLine="709"/>
        <w:contextualSpacing/>
        <w:jc w:val="both"/>
        <w:rPr>
          <w:rFonts w:ascii="Times New Roman" w:hAnsi="Times New Roman"/>
          <w:b/>
          <w:sz w:val="28"/>
          <w:szCs w:val="28"/>
          <w:lang w:val="uk-UA" w:eastAsia="ru-RU"/>
        </w:rPr>
      </w:pPr>
      <w:r>
        <w:rPr>
          <w:rFonts w:ascii="Times New Roman" w:hAnsi="Times New Roman"/>
          <w:sz w:val="28"/>
          <w:szCs w:val="28"/>
          <w:lang w:val="uk-UA" w:eastAsia="uk-UA"/>
        </w:rPr>
        <w:br w:type="page"/>
      </w:r>
      <w:r w:rsidR="00497C3E" w:rsidRPr="002F4F97">
        <w:rPr>
          <w:rFonts w:ascii="Times New Roman" w:hAnsi="Times New Roman"/>
          <w:b/>
          <w:sz w:val="28"/>
          <w:szCs w:val="28"/>
          <w:lang w:val="uk-UA" w:eastAsia="ru-RU"/>
        </w:rPr>
        <w:lastRenderedPageBreak/>
        <w:t>ПРИРОДОКОРИСТУВАННЯ ТА БЕЗПЕКА ЖИТТЄДІЯЛЬНОСТІ ЛЮДИНИ</w:t>
      </w:r>
    </w:p>
    <w:p w:rsidR="00497C3E" w:rsidRPr="002F4F97" w:rsidRDefault="00497C3E" w:rsidP="009778F5">
      <w:pPr>
        <w:tabs>
          <w:tab w:val="left" w:pos="1276"/>
        </w:tabs>
        <w:spacing w:after="0" w:line="240" w:lineRule="auto"/>
        <w:ind w:left="709"/>
        <w:contextualSpacing/>
        <w:jc w:val="both"/>
        <w:rPr>
          <w:rFonts w:ascii="Times New Roman" w:hAnsi="Times New Roman"/>
          <w:b/>
          <w:sz w:val="28"/>
          <w:szCs w:val="28"/>
          <w:lang w:val="uk-UA" w:eastAsia="ru-RU"/>
        </w:rPr>
      </w:pPr>
    </w:p>
    <w:p w:rsidR="00497C3E" w:rsidRPr="002F4F97" w:rsidRDefault="00497C3E" w:rsidP="00362A7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Охорона навколишнього природного середовища</w:t>
      </w:r>
    </w:p>
    <w:p w:rsidR="00497C3E" w:rsidRDefault="00497C3E" w:rsidP="004D50A3">
      <w:pPr>
        <w:spacing w:after="0" w:line="240" w:lineRule="auto"/>
        <w:ind w:firstLine="709"/>
        <w:jc w:val="both"/>
        <w:rPr>
          <w:rFonts w:ascii="Times New Roman" w:hAnsi="Times New Roman"/>
          <w:sz w:val="28"/>
          <w:szCs w:val="28"/>
          <w:lang w:val="uk-UA"/>
        </w:rPr>
      </w:pP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Екологічний стан у місті Лисичанськ у 2018 році в основному залишався стабільним. Надзвичайних ситуацій техногенно-екологічного характеру, які б зумовили значні обсяги чи неконтрольоване забруднення навколишнього середовища, протягом року на території міста не було.</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За інформацією Державної санітарно-епідеміологічної служби України основними забруднювачами атмосферного повітря у місті залишаються промислові підприємства міста, у т.ч. шахти ПАТ «Лисичанськвугілля», та працюючі підприємства міст Сєвєродонецьк, Рубіжне, а також викиди від автотранспорту.</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Значно погіршився стан атмосферного повітря у м. Лисичанську у 2018 році у порівнянні з 2017 роком. Це в першу чергу було пов’язано з горінням шламонакопичувача ПрАТ «Сєверодонецьке об’єднання Азот» у серпні місяці, розташованого у м. Сєверодонецьк. Усього протягом 2018 року у м.</w:t>
      </w:r>
      <w:r>
        <w:rPr>
          <w:rFonts w:ascii="Times New Roman" w:hAnsi="Times New Roman"/>
          <w:sz w:val="28"/>
          <w:szCs w:val="28"/>
          <w:lang w:val="uk-UA"/>
        </w:rPr>
        <w:t> </w:t>
      </w:r>
      <w:r w:rsidRPr="004D59F6">
        <w:rPr>
          <w:rFonts w:ascii="Times New Roman" w:hAnsi="Times New Roman"/>
          <w:sz w:val="28"/>
          <w:szCs w:val="28"/>
          <w:lang w:val="uk-UA"/>
        </w:rPr>
        <w:t>Лисичанську було досліджено 2320 проб атмосферного повітря, у 40 пробах було встановлено перевищення ГДК шкідливих речовин, що склало 1,7%. У 2017 році було досліджено 1845 проб, з них у 8 пробах було перевищення ГДК або 0,43%. У 2016 р було проведено 1101 дослідження, перевищення ГДК склало 0,27% досліджених проб.</w:t>
      </w:r>
    </w:p>
    <w:p w:rsidR="00497C3E" w:rsidRPr="00512C2E" w:rsidRDefault="00497C3E" w:rsidP="00512C2E">
      <w:pPr>
        <w:spacing w:after="0" w:line="240" w:lineRule="auto"/>
        <w:ind w:firstLine="709"/>
        <w:jc w:val="both"/>
        <w:rPr>
          <w:rFonts w:ascii="Times New Roman" w:hAnsi="Times New Roman"/>
          <w:sz w:val="28"/>
          <w:szCs w:val="28"/>
          <w:lang w:val="uk-UA"/>
        </w:rPr>
      </w:pPr>
      <w:r w:rsidRPr="00512C2E">
        <w:rPr>
          <w:rFonts w:ascii="Times New Roman" w:hAnsi="Times New Roman"/>
          <w:sz w:val="28"/>
          <w:szCs w:val="28"/>
          <w:lang w:val="uk-UA"/>
        </w:rPr>
        <w:t>На адресу Лисичанської міської ради неодноразово звертались мешканці східних кварталів міста зі скаргами на забруднення атмосферного повітря в районі заводу ГТВ, як припускали заявники внаслідок спалювання сміття на території заводу ГТВ, а саме на діяльність ТОВ «Луганськпереробка». На 49 сесії Лисичанської міської ради за участю представників громадськості і Державної екологічної інспекції у Луганській області було розглянуто питання, щодо діяльності піролізного виробництва, в результаті чого було прийняте рішення Лисичанської міської ради від 30.08.2018 № 49/767 «Про заборону діяльності».</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В місті Лисичанську основним джерелом централізованого господарсько-питного водопостачання є п’ять водозаборів ЛКСП «Лисичанськводоканал», що забирають воду з підземних джерел.</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У 2018 р. по воді питній централізованого водопостачання погіршилися показники за мікробіологічними дослідженнями . Так з 617 досліджених проб в 2018 році не відповідність вимогам ДСанПіН 2.2.4-171-10 «Гігієнічні вимоги до води питної призначеної для споживання людиною» склали 50 проб, або 8,1% проти 4,4% у 2017 році.</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За санітарно-хімічними показниками в 2018 році було досліджено 473 проби, відхилення у пробах від вимог вищевказаного ДСанПіНа були у 123 пробах або 26,0% проти 29,3% у 2017 році та 37,7% у 2016 році.</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 xml:space="preserve">Джерела децентралізованого водопостачання, які розташовані на території міст Лисичанськ, Новодружеськ, Привілля, та з яких </w:t>
      </w:r>
      <w:r w:rsidRPr="004D59F6">
        <w:rPr>
          <w:rFonts w:ascii="Times New Roman" w:hAnsi="Times New Roman"/>
          <w:sz w:val="28"/>
          <w:szCs w:val="28"/>
          <w:lang w:val="uk-UA"/>
        </w:rPr>
        <w:lastRenderedPageBreak/>
        <w:t>використовується вода населенням для господарсько-питних потреб, залишаються без господарськими. У питній воді децентралізованого водопостачання за мікробіологічними дослідженнями в 2018 році відхилення склали 90% проти 45% у 2017 році. За санітарно-хімічними дослідженнями відхилення склали 80% проти 85% в 2017 році, у тому числі за вмістом нітратів 20% у 2018 проти 43,7% у 2017 р., з 7-ми колодязів у 5-х має місце перевищення санітарно-гігієнічних норм: по вул. Червона, вул. Дібровка, вул. Газовиків, вул. Донецька м. Привілля, вул. Джерельна м. Привілля). Перевищення санітарно-гігієнічних норм по нітратам загрожує виникненню водно-нітратної метгемоглобінемії у дітей, які споживають воду з колодязів.</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На території міста протікає дві річки – Сіверський Донець та Верхня Біленька, які належить до малих, невеликої довжини та маловодних рік. У водоймищі 1 категорії (р. Сіверський Донець р-н ЗФС п. Білогорівка) було досліджено на бактеріологічні показники 23 проби, 16 (69,5%) з яких були з відхиленням від санітарних норм (по кишковій палочці – 8, по холероподібним вібріонам – 7; коліфагам – 1). В 2017 році відсоток відхилень склав – 63,2%. На санітарно-хімічні показники було досліджено 14 проб, усі досліджені проби не відповідали вимогам санітарних норм (100%) по сухому залишку, загальній жорсткості. Аналогічна ситуація була і у 2017 році.</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У водоймищах 2 категорії (р. Сіверський Донець у районі човнової станції, ставки на території міста, р. Біленька) у 2018 році було досліджено на бактеріологчні показники 57 проб, з них 40 проб (70,1%) не відповідали вимогам санітарних норм. У 2017 році відсоток відхилення складав- 40,4%. На санітарно-хімічні показники у водоймищах 2 категорії було досліджено 37 проб, 26 (70,3%) з яких не відповідали вимогам санітарних норм. У 2017 році відсоток відхилень складав – 87,8%.</w:t>
      </w:r>
    </w:p>
    <w:p w:rsidR="00497C3E" w:rsidRPr="004D59F6" w:rsidRDefault="00497C3E" w:rsidP="004D59F6">
      <w:pPr>
        <w:spacing w:after="0" w:line="240" w:lineRule="auto"/>
        <w:ind w:firstLine="709"/>
        <w:jc w:val="both"/>
        <w:rPr>
          <w:rFonts w:ascii="Times New Roman" w:hAnsi="Times New Roman"/>
          <w:sz w:val="28"/>
          <w:szCs w:val="28"/>
          <w:lang w:val="uk-UA"/>
        </w:rPr>
      </w:pPr>
      <w:r w:rsidRPr="004D59F6">
        <w:rPr>
          <w:rFonts w:ascii="Times New Roman" w:hAnsi="Times New Roman"/>
          <w:sz w:val="28"/>
          <w:szCs w:val="28"/>
          <w:lang w:val="uk-UA"/>
        </w:rPr>
        <w:t>Мікробіологічне забруднення водних об’єктів, особливо у літній період, перевищує нормативні значення в десятки разів, та є небезпечним для використання водотоків для купань. Єдиним у місті облаштованим місцем для відпочинку та купання людей є ставок, який розташований у районі склозаводу, де рекреаційна зона протягом 2018 року відповідала вимогам санітарних норм та правил. Якість води у більшій кількості досліджених проб за мікробіологічними показниками протягом 2018 року також відповідала вимогам санітарних норм та правил.</w:t>
      </w:r>
    </w:p>
    <w:p w:rsidR="00497C3E" w:rsidRPr="002F4F97" w:rsidRDefault="00497C3E" w:rsidP="004D50A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Актуальною проблемою для міста, як і раніше, залишається шум. Основним джерелом шуму в останні роки являється автотранспорт, та вбудовано-прибудовані до житлових будинків об’єкти, кількість яких постійно зростає (від зовнішньої звукової реклами, технологічного та вентиляційного обладнання, музичного супроводження).</w:t>
      </w:r>
    </w:p>
    <w:p w:rsidR="00497C3E" w:rsidRDefault="00497C3E" w:rsidP="004D50A3">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В місті відсутня об’їзна дорога для транзитного транспорту. Посиленню транспортного шуму, крім цього, сприяє незадовільний технічний стан вулиць.</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високе навантаження викидами підприємств та автотранспорту на атмосферу міста;</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lastRenderedPageBreak/>
        <w:t>незахищеність поверхневих вод басейну р. Сіверський Донець та підземних вод питної якості;</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низький рівень утилізації промислових відходів.</w:t>
      </w:r>
    </w:p>
    <w:p w:rsidR="00497C3E" w:rsidRDefault="00497C3E" w:rsidP="00485B04">
      <w:pPr>
        <w:spacing w:after="0" w:line="240" w:lineRule="auto"/>
        <w:ind w:firstLine="709"/>
        <w:jc w:val="both"/>
        <w:outlineLvl w:val="0"/>
        <w:rPr>
          <w:rFonts w:ascii="Times New Roman" w:hAnsi="Times New Roman"/>
          <w:b/>
          <w:i/>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поліпшенню та стабілізації стану повітряного басейну міста;</w:t>
      </w:r>
    </w:p>
    <w:p w:rsidR="008D3F62" w:rsidRPr="002F4F97" w:rsidRDefault="008D3F62" w:rsidP="008D3F62">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Pr>
          <w:rFonts w:ascii="Times New Roman" w:hAnsi="Times New Roman"/>
          <w:sz w:val="28"/>
          <w:szCs w:val="28"/>
          <w:lang w:val="uk-UA" w:eastAsia="uk-UA"/>
        </w:rPr>
        <w:t xml:space="preserve">створення системи </w:t>
      </w:r>
      <w:r w:rsidR="000815DA">
        <w:rPr>
          <w:rFonts w:ascii="Times New Roman" w:hAnsi="Times New Roman"/>
          <w:sz w:val="28"/>
          <w:szCs w:val="28"/>
          <w:lang w:val="uk-UA" w:eastAsia="uk-UA"/>
        </w:rPr>
        <w:t>об’їзних</w:t>
      </w:r>
      <w:r>
        <w:rPr>
          <w:rFonts w:ascii="Times New Roman" w:hAnsi="Times New Roman"/>
          <w:sz w:val="28"/>
          <w:szCs w:val="28"/>
          <w:lang w:val="uk-UA" w:eastAsia="uk-UA"/>
        </w:rPr>
        <w:t xml:space="preserve"> доріг, зокрема в</w:t>
      </w:r>
      <w:r w:rsidRPr="008D3F62">
        <w:rPr>
          <w:rFonts w:ascii="Times New Roman" w:hAnsi="Times New Roman"/>
          <w:sz w:val="28"/>
          <w:szCs w:val="28"/>
          <w:lang w:val="uk-UA" w:eastAsia="uk-UA"/>
        </w:rPr>
        <w:t>ідновлення інфраструктурного комплексу, який складається з трьох мостів та автошляху, що поєднує південну частину м. Лисичанська з м. Сєвєродонецьком</w:t>
      </w:r>
      <w:r>
        <w:rPr>
          <w:rFonts w:ascii="Times New Roman" w:hAnsi="Times New Roman"/>
          <w:sz w:val="28"/>
          <w:szCs w:val="28"/>
          <w:lang w:val="uk-UA" w:eastAsia="uk-UA"/>
        </w:rPr>
        <w:t xml:space="preserve"> та капітальний ремонт </w:t>
      </w:r>
      <w:r w:rsidRPr="008D3F62">
        <w:rPr>
          <w:rFonts w:ascii="Times New Roman" w:hAnsi="Times New Roman"/>
          <w:sz w:val="28"/>
          <w:szCs w:val="28"/>
          <w:lang w:val="uk-UA" w:eastAsia="uk-UA"/>
        </w:rPr>
        <w:t>автодороги по вул. Томашовська в м. Новодружеськ</w:t>
      </w:r>
      <w:r>
        <w:rPr>
          <w:rFonts w:ascii="Times New Roman" w:hAnsi="Times New Roman"/>
          <w:sz w:val="28"/>
          <w:szCs w:val="28"/>
          <w:lang w:val="uk-UA" w:eastAsia="uk-UA"/>
        </w:rPr>
        <w:t>;</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сприяння збереженню та покращанню екологічного стану водних ресурсів.</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охорона та раціональне використання природних ресурсів;</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проведення роз’яснювальної серед підприємств щодо збільшення обсягів утилізації промислових відходів та зменшення обсягів їх утворення;</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покращення екологічного стану міста.</w:t>
      </w:r>
    </w:p>
    <w:p w:rsidR="00497C3E" w:rsidRDefault="00497C3E" w:rsidP="00340871">
      <w:pPr>
        <w:suppressAutoHyphens/>
        <w:spacing w:after="0" w:line="240" w:lineRule="auto"/>
        <w:ind w:left="709"/>
        <w:jc w:val="both"/>
        <w:rPr>
          <w:rFonts w:ascii="Times New Roman" w:hAnsi="Times New Roman"/>
          <w:sz w:val="28"/>
          <w:szCs w:val="28"/>
          <w:lang w:val="uk-UA" w:eastAsia="uk-UA"/>
        </w:rPr>
      </w:pPr>
    </w:p>
    <w:p w:rsidR="00497C3E" w:rsidRPr="002F4F97" w:rsidRDefault="00497C3E" w:rsidP="00362A7B">
      <w:pPr>
        <w:numPr>
          <w:ilvl w:val="1"/>
          <w:numId w:val="2"/>
        </w:numPr>
        <w:tabs>
          <w:tab w:val="left" w:pos="1560"/>
        </w:tabs>
        <w:spacing w:after="0" w:line="240" w:lineRule="auto"/>
        <w:ind w:left="0" w:firstLine="709"/>
        <w:contextualSpacing/>
        <w:jc w:val="both"/>
        <w:rPr>
          <w:rFonts w:ascii="Times New Roman" w:hAnsi="Times New Roman"/>
          <w:b/>
          <w:sz w:val="28"/>
          <w:szCs w:val="28"/>
          <w:lang w:val="uk-UA" w:eastAsia="ru-RU"/>
        </w:rPr>
      </w:pPr>
      <w:r w:rsidRPr="002F4F97">
        <w:rPr>
          <w:rFonts w:ascii="Times New Roman" w:hAnsi="Times New Roman"/>
          <w:b/>
          <w:sz w:val="28"/>
          <w:szCs w:val="28"/>
          <w:lang w:val="uk-UA" w:eastAsia="ru-RU"/>
        </w:rPr>
        <w:t>Охорона праці</w:t>
      </w:r>
    </w:p>
    <w:p w:rsidR="00497C3E" w:rsidRDefault="00497C3E" w:rsidP="00485B04">
      <w:pPr>
        <w:spacing w:after="0" w:line="240" w:lineRule="auto"/>
        <w:ind w:firstLine="709"/>
        <w:jc w:val="both"/>
        <w:outlineLvl w:val="0"/>
        <w:rPr>
          <w:rFonts w:ascii="Times New Roman" w:hAnsi="Times New Roman"/>
          <w:b/>
          <w:i/>
          <w:sz w:val="28"/>
          <w:szCs w:val="28"/>
          <w:lang w:val="uk-UA"/>
        </w:rPr>
      </w:pP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проблеми</w:t>
      </w:r>
    </w:p>
    <w:p w:rsidR="00497C3E" w:rsidRPr="002F4F97" w:rsidRDefault="00497C3E" w:rsidP="00362A7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Стан виробничого травматизму та професійних захворювань на підприємствах міста.</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пріоритети</w:t>
      </w:r>
    </w:p>
    <w:p w:rsidR="00497C3E" w:rsidRPr="002F4F97" w:rsidRDefault="00497C3E" w:rsidP="00362A7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Забезпечення реалізації державної політики у сфері охорони праці та промислової безпеки стосовно пріоритетності життя і здоров’я працівників у процесі трудової діяльності.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Основні завдання</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підвищення ефективності функціонування системи управління охорони праці на підприємствах;</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здійснення заходів по зниженню рівня професійних захворювань та виробничого травматизму;</w:t>
      </w:r>
    </w:p>
    <w:p w:rsidR="00497C3E" w:rsidRPr="002F4F97" w:rsidRDefault="00497C3E" w:rsidP="00362A7B">
      <w:pPr>
        <w:numPr>
          <w:ilvl w:val="0"/>
          <w:numId w:val="15"/>
        </w:numPr>
        <w:tabs>
          <w:tab w:val="clear" w:pos="588"/>
          <w:tab w:val="num" w:pos="1276"/>
        </w:tabs>
        <w:suppressAutoHyphens/>
        <w:spacing w:after="0" w:line="240" w:lineRule="auto"/>
        <w:ind w:left="0" w:firstLine="709"/>
        <w:jc w:val="both"/>
        <w:rPr>
          <w:rFonts w:ascii="Times New Roman" w:hAnsi="Times New Roman"/>
          <w:sz w:val="28"/>
          <w:szCs w:val="28"/>
          <w:lang w:val="uk-UA" w:eastAsia="uk-UA"/>
        </w:rPr>
      </w:pPr>
      <w:r w:rsidRPr="002F4F97">
        <w:rPr>
          <w:rFonts w:ascii="Times New Roman" w:hAnsi="Times New Roman"/>
          <w:sz w:val="28"/>
          <w:szCs w:val="28"/>
          <w:lang w:val="uk-UA" w:eastAsia="uk-UA"/>
        </w:rPr>
        <w:t>проведення профілактичної роботи щодо виробничого травматизму та професійної захворюваності.</w:t>
      </w:r>
    </w:p>
    <w:p w:rsidR="00497C3E" w:rsidRPr="002F4F97" w:rsidRDefault="00497C3E" w:rsidP="00485B04">
      <w:pPr>
        <w:spacing w:after="0" w:line="240" w:lineRule="auto"/>
        <w:ind w:firstLine="709"/>
        <w:jc w:val="both"/>
        <w:outlineLvl w:val="0"/>
        <w:rPr>
          <w:rFonts w:ascii="Times New Roman" w:hAnsi="Times New Roman"/>
          <w:b/>
          <w:i/>
          <w:sz w:val="28"/>
          <w:szCs w:val="28"/>
          <w:lang w:val="uk-UA"/>
        </w:rPr>
      </w:pPr>
      <w:r w:rsidRPr="002F4F97">
        <w:rPr>
          <w:rFonts w:ascii="Times New Roman" w:hAnsi="Times New Roman"/>
          <w:b/>
          <w:i/>
          <w:sz w:val="28"/>
          <w:szCs w:val="28"/>
          <w:lang w:val="uk-UA"/>
        </w:rPr>
        <w:t>Очікувані результати</w:t>
      </w:r>
    </w:p>
    <w:p w:rsidR="00497C3E" w:rsidRPr="002F4F97" w:rsidRDefault="00497C3E" w:rsidP="00362A7B">
      <w:pPr>
        <w:spacing w:after="0" w:line="240" w:lineRule="auto"/>
        <w:ind w:firstLine="709"/>
        <w:jc w:val="both"/>
        <w:rPr>
          <w:rFonts w:ascii="Times New Roman" w:hAnsi="Times New Roman"/>
          <w:sz w:val="28"/>
          <w:szCs w:val="28"/>
          <w:lang w:val="uk-UA"/>
        </w:rPr>
      </w:pPr>
      <w:r w:rsidRPr="002F4F97">
        <w:rPr>
          <w:rFonts w:ascii="Times New Roman" w:hAnsi="Times New Roman"/>
          <w:sz w:val="28"/>
          <w:szCs w:val="28"/>
          <w:lang w:val="uk-UA"/>
        </w:rPr>
        <w:t>Покращення умов праці, запобігання нещасним випадкам та зменшення їх кількості.</w:t>
      </w:r>
    </w:p>
    <w:p w:rsidR="00497C3E" w:rsidRDefault="00497C3E" w:rsidP="00362A7B">
      <w:pPr>
        <w:spacing w:after="0" w:line="240" w:lineRule="auto"/>
        <w:ind w:firstLine="709"/>
        <w:jc w:val="both"/>
        <w:rPr>
          <w:rFonts w:ascii="Times New Roman" w:hAnsi="Times New Roman"/>
          <w:sz w:val="28"/>
          <w:szCs w:val="28"/>
          <w:lang w:val="uk-UA"/>
        </w:rPr>
      </w:pPr>
    </w:p>
    <w:p w:rsidR="0018063F" w:rsidRPr="002F4F97" w:rsidRDefault="0018063F" w:rsidP="0018063F">
      <w:pPr>
        <w:tabs>
          <w:tab w:val="left" w:pos="7230"/>
        </w:tabs>
        <w:spacing w:after="0" w:line="240" w:lineRule="auto"/>
        <w:ind w:firstLine="709"/>
        <w:jc w:val="both"/>
        <w:rPr>
          <w:rFonts w:ascii="Times New Roman" w:hAnsi="Times New Roman"/>
          <w:b/>
          <w:sz w:val="28"/>
          <w:szCs w:val="28"/>
          <w:lang w:val="uk-UA"/>
        </w:rPr>
      </w:pPr>
      <w:r>
        <w:rPr>
          <w:rFonts w:ascii="Times New Roman" w:hAnsi="Times New Roman"/>
          <w:b/>
          <w:sz w:val="28"/>
          <w:szCs w:val="28"/>
          <w:lang w:val="uk-UA"/>
        </w:rPr>
        <w:t>Секретар міської ради</w:t>
      </w:r>
      <w:r w:rsidRPr="002F4F97">
        <w:rPr>
          <w:rFonts w:ascii="Times New Roman" w:hAnsi="Times New Roman"/>
          <w:b/>
          <w:sz w:val="28"/>
          <w:szCs w:val="28"/>
          <w:lang w:val="uk-UA"/>
        </w:rPr>
        <w:tab/>
      </w:r>
      <w:r>
        <w:rPr>
          <w:rFonts w:ascii="Times New Roman" w:hAnsi="Times New Roman"/>
          <w:b/>
          <w:sz w:val="28"/>
          <w:szCs w:val="28"/>
          <w:lang w:val="uk-UA"/>
        </w:rPr>
        <w:t>Е</w:t>
      </w:r>
      <w:r w:rsidRPr="002F4F97">
        <w:rPr>
          <w:rFonts w:ascii="Times New Roman" w:hAnsi="Times New Roman"/>
          <w:b/>
          <w:sz w:val="28"/>
          <w:szCs w:val="28"/>
          <w:lang w:val="uk-UA"/>
        </w:rPr>
        <w:t xml:space="preserve">. </w:t>
      </w:r>
      <w:r>
        <w:rPr>
          <w:rFonts w:ascii="Times New Roman" w:hAnsi="Times New Roman"/>
          <w:b/>
          <w:sz w:val="28"/>
          <w:szCs w:val="28"/>
          <w:lang w:val="uk-UA"/>
        </w:rPr>
        <w:t>ЩЕГЛАКОВ</w:t>
      </w:r>
    </w:p>
    <w:p w:rsidR="0018063F" w:rsidRDefault="0018063F" w:rsidP="00362A7B">
      <w:pPr>
        <w:spacing w:after="0" w:line="240" w:lineRule="auto"/>
        <w:ind w:firstLine="709"/>
        <w:jc w:val="both"/>
        <w:rPr>
          <w:rFonts w:ascii="Times New Roman" w:hAnsi="Times New Roman"/>
          <w:sz w:val="28"/>
          <w:szCs w:val="28"/>
          <w:lang w:val="uk-UA"/>
        </w:rPr>
      </w:pPr>
    </w:p>
    <w:p w:rsidR="0018063F" w:rsidRDefault="00497C3E" w:rsidP="0018063F">
      <w:pPr>
        <w:tabs>
          <w:tab w:val="left" w:pos="7230"/>
        </w:tabs>
        <w:spacing w:after="0" w:line="240" w:lineRule="auto"/>
        <w:ind w:firstLine="709"/>
        <w:jc w:val="both"/>
        <w:rPr>
          <w:rFonts w:ascii="Times New Roman" w:hAnsi="Times New Roman"/>
          <w:b/>
          <w:sz w:val="28"/>
          <w:szCs w:val="28"/>
          <w:lang w:val="uk-UA"/>
        </w:rPr>
      </w:pPr>
      <w:r>
        <w:rPr>
          <w:rFonts w:ascii="Times New Roman" w:hAnsi="Times New Roman"/>
          <w:b/>
          <w:sz w:val="28"/>
          <w:szCs w:val="28"/>
          <w:lang w:val="uk-UA"/>
        </w:rPr>
        <w:t>Перший заступник</w:t>
      </w:r>
    </w:p>
    <w:p w:rsidR="00497C3E" w:rsidRPr="002F4F97" w:rsidRDefault="00497C3E" w:rsidP="0018063F">
      <w:pPr>
        <w:tabs>
          <w:tab w:val="left" w:pos="7230"/>
        </w:tabs>
        <w:spacing w:after="0" w:line="240" w:lineRule="auto"/>
        <w:ind w:firstLine="709"/>
        <w:jc w:val="both"/>
        <w:rPr>
          <w:rFonts w:ascii="Times New Roman" w:hAnsi="Times New Roman"/>
          <w:b/>
          <w:sz w:val="28"/>
          <w:szCs w:val="28"/>
          <w:lang w:val="uk-UA"/>
        </w:rPr>
      </w:pPr>
      <w:r>
        <w:rPr>
          <w:rFonts w:ascii="Times New Roman" w:hAnsi="Times New Roman"/>
          <w:b/>
          <w:sz w:val="28"/>
          <w:szCs w:val="28"/>
          <w:lang w:val="uk-UA"/>
        </w:rPr>
        <w:t>міського голови</w:t>
      </w:r>
      <w:r w:rsidRPr="002F4F97">
        <w:rPr>
          <w:rFonts w:ascii="Times New Roman" w:hAnsi="Times New Roman"/>
          <w:b/>
          <w:sz w:val="28"/>
          <w:szCs w:val="28"/>
          <w:lang w:val="uk-UA"/>
        </w:rPr>
        <w:tab/>
      </w:r>
      <w:r>
        <w:rPr>
          <w:rFonts w:ascii="Times New Roman" w:hAnsi="Times New Roman"/>
          <w:b/>
          <w:sz w:val="28"/>
          <w:szCs w:val="28"/>
          <w:lang w:val="uk-UA"/>
        </w:rPr>
        <w:t>А</w:t>
      </w:r>
      <w:r w:rsidRPr="002F4F97">
        <w:rPr>
          <w:rFonts w:ascii="Times New Roman" w:hAnsi="Times New Roman"/>
          <w:b/>
          <w:sz w:val="28"/>
          <w:szCs w:val="28"/>
          <w:lang w:val="uk-UA"/>
        </w:rPr>
        <w:t xml:space="preserve">. </w:t>
      </w:r>
      <w:r>
        <w:rPr>
          <w:rFonts w:ascii="Times New Roman" w:hAnsi="Times New Roman"/>
          <w:b/>
          <w:sz w:val="28"/>
          <w:szCs w:val="28"/>
          <w:lang w:val="uk-UA"/>
        </w:rPr>
        <w:t>ШАЛЬНЄВ</w:t>
      </w:r>
    </w:p>
    <w:sectPr w:rsidR="00497C3E" w:rsidRPr="002F4F97" w:rsidSect="001D7E75">
      <w:footerReference w:type="default" r:id="rId13"/>
      <w:type w:val="continuous"/>
      <w:pgSz w:w="11906" w:h="16838"/>
      <w:pgMar w:top="1134" w:right="850" w:bottom="1134" w:left="1701" w:header="340" w:footer="34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F335C" w:rsidRDefault="001F335C" w:rsidP="00984A1E">
      <w:pPr>
        <w:spacing w:after="0" w:line="240" w:lineRule="auto"/>
      </w:pPr>
      <w:r>
        <w:separator/>
      </w:r>
    </w:p>
  </w:endnote>
  <w:endnote w:type="continuationSeparator" w:id="0">
    <w:p w:rsidR="001F335C" w:rsidRDefault="001F335C" w:rsidP="00984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w Cen MT Condensed Extra Bold">
    <w:panose1 w:val="020B0803020202020204"/>
    <w:charset w:val="00"/>
    <w:family w:val="swiss"/>
    <w:pitch w:val="variable"/>
    <w:sig w:usb0="00000007" w:usb1="00000000" w:usb2="00000000" w:usb3="00000000" w:csb0="00000003"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avid">
    <w:panose1 w:val="020E0502060401010101"/>
    <w:charset w:val="B1"/>
    <w:family w:val="swiss"/>
    <w:pitch w:val="variable"/>
    <w:sig w:usb0="00000801" w:usb1="00000000" w:usb2="00000000" w:usb3="00000000" w:csb0="00000020"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54FA5" w:rsidRPr="00DF13A8" w:rsidRDefault="00E54FA5" w:rsidP="00DF6DA7">
    <w:pPr>
      <w:pStyle w:val="ac"/>
      <w:jc w:val="center"/>
      <w:rPr>
        <w:rFonts w:ascii="Times New Roman" w:hAnsi="Times New Roman"/>
        <w:sz w:val="24"/>
        <w:szCs w:val="24"/>
      </w:rPr>
    </w:pPr>
    <w:r w:rsidRPr="00DF13A8">
      <w:rPr>
        <w:rFonts w:ascii="Times New Roman" w:hAnsi="Times New Roman"/>
        <w:sz w:val="24"/>
        <w:szCs w:val="24"/>
      </w:rPr>
      <w:fldChar w:fldCharType="begin"/>
    </w:r>
    <w:r w:rsidRPr="00DF13A8">
      <w:rPr>
        <w:rFonts w:ascii="Times New Roman" w:hAnsi="Times New Roman"/>
        <w:sz w:val="24"/>
        <w:szCs w:val="24"/>
      </w:rPr>
      <w:instrText>PAGE   \* MERGEFORMAT</w:instrText>
    </w:r>
    <w:r w:rsidRPr="00DF13A8">
      <w:rPr>
        <w:rFonts w:ascii="Times New Roman" w:hAnsi="Times New Roman"/>
        <w:sz w:val="24"/>
        <w:szCs w:val="24"/>
      </w:rPr>
      <w:fldChar w:fldCharType="separate"/>
    </w:r>
    <w:r w:rsidR="00523E5C">
      <w:rPr>
        <w:rFonts w:ascii="Times New Roman" w:hAnsi="Times New Roman"/>
        <w:noProof/>
        <w:sz w:val="24"/>
        <w:szCs w:val="24"/>
      </w:rPr>
      <w:t>56</w:t>
    </w:r>
    <w:r w:rsidRPr="00DF13A8">
      <w:rPr>
        <w:rFonts w:ascii="Times New Roman" w:hAnsi="Times New Roman"/>
        <w:sz w:val="24"/>
        <w:szCs w:val="24"/>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F335C" w:rsidRDefault="001F335C" w:rsidP="00984A1E">
      <w:pPr>
        <w:spacing w:after="0" w:line="240" w:lineRule="auto"/>
      </w:pPr>
      <w:r>
        <w:separator/>
      </w:r>
    </w:p>
  </w:footnote>
  <w:footnote w:type="continuationSeparator" w:id="0">
    <w:p w:rsidR="001F335C" w:rsidRDefault="001F335C" w:rsidP="00984A1E">
      <w:pPr>
        <w:spacing w:after="0" w:line="240" w:lineRule="auto"/>
      </w:pPr>
      <w:r>
        <w:continuationSeparator/>
      </w:r>
    </w:p>
  </w:footnote>
  <w:footnote w:id="1">
    <w:p w:rsidR="00E54FA5" w:rsidRDefault="00E54FA5">
      <w:pPr>
        <w:pStyle w:val="a3"/>
      </w:pPr>
      <w:r>
        <w:rPr>
          <w:rStyle w:val="a5"/>
        </w:rPr>
        <w:footnoteRef/>
      </w:r>
      <w:r>
        <w:t xml:space="preserve"> </w:t>
      </w:r>
      <w:r w:rsidRPr="00DA6CC8">
        <w:rPr>
          <w:rFonts w:ascii="Times New Roman" w:hAnsi="Times New Roman"/>
        </w:rPr>
        <w:t>На дату відповіді 21.11.2018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2"/>
    <w:name w:val="WW8Num7"/>
    <w:lvl w:ilvl="0">
      <w:start w:val="9"/>
      <w:numFmt w:val="bullet"/>
      <w:lvlText w:val="–"/>
      <w:lvlJc w:val="left"/>
      <w:pPr>
        <w:tabs>
          <w:tab w:val="num" w:pos="256"/>
        </w:tabs>
        <w:ind w:left="256" w:firstLine="312"/>
      </w:pPr>
      <w:rPr>
        <w:rFonts w:ascii="Times New Roman" w:hAnsi="Times New Roman"/>
        <w:sz w:val="28"/>
      </w:rPr>
    </w:lvl>
  </w:abstractNum>
  <w:abstractNum w:abstractNumId="1">
    <w:nsid w:val="059A0BC2"/>
    <w:multiLevelType w:val="hybridMultilevel"/>
    <w:tmpl w:val="6646156C"/>
    <w:lvl w:ilvl="0" w:tplc="04190005">
      <w:start w:val="1"/>
      <w:numFmt w:val="bullet"/>
      <w:lvlText w:val=""/>
      <w:lvlJc w:val="left"/>
      <w:pPr>
        <w:tabs>
          <w:tab w:val="num" w:pos="1069"/>
        </w:tabs>
        <w:ind w:left="1069"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0EEE72E7"/>
    <w:multiLevelType w:val="hybridMultilevel"/>
    <w:tmpl w:val="C36A3EA4"/>
    <w:lvl w:ilvl="0" w:tplc="29FE77DE">
      <w:start w:val="1"/>
      <w:numFmt w:val="bullet"/>
      <w:lvlText w:val=""/>
      <w:lvlJc w:val="left"/>
      <w:pPr>
        <w:tabs>
          <w:tab w:val="num" w:pos="588"/>
        </w:tabs>
        <w:ind w:left="588" w:firstLine="312"/>
      </w:pPr>
      <w:rPr>
        <w:rFonts w:ascii="Symbol" w:hAnsi="Symbol" w:hint="default"/>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193B317D"/>
    <w:multiLevelType w:val="hybridMultilevel"/>
    <w:tmpl w:val="FAD69B42"/>
    <w:lvl w:ilvl="0" w:tplc="16D2CD7E">
      <w:start w:val="1"/>
      <w:numFmt w:val="decimal"/>
      <w:lvlText w:val="%1."/>
      <w:lvlJc w:val="left"/>
      <w:pPr>
        <w:tabs>
          <w:tab w:val="num" w:pos="1069"/>
        </w:tabs>
        <w:ind w:left="1069" w:hanging="360"/>
      </w:pPr>
      <w:rPr>
        <w:rFonts w:cs="Times New Roman" w:hint="default"/>
      </w:rPr>
    </w:lvl>
    <w:lvl w:ilvl="1" w:tplc="04190019" w:tentative="1">
      <w:start w:val="1"/>
      <w:numFmt w:val="lowerLetter"/>
      <w:lvlText w:val="%2."/>
      <w:lvlJc w:val="left"/>
      <w:pPr>
        <w:tabs>
          <w:tab w:val="num" w:pos="1789"/>
        </w:tabs>
        <w:ind w:left="1789" w:hanging="360"/>
      </w:pPr>
      <w:rPr>
        <w:rFonts w:cs="Times New Roman"/>
      </w:rPr>
    </w:lvl>
    <w:lvl w:ilvl="2" w:tplc="0419001B" w:tentative="1">
      <w:start w:val="1"/>
      <w:numFmt w:val="lowerRoman"/>
      <w:lvlText w:val="%3."/>
      <w:lvlJc w:val="right"/>
      <w:pPr>
        <w:tabs>
          <w:tab w:val="num" w:pos="2509"/>
        </w:tabs>
        <w:ind w:left="2509" w:hanging="180"/>
      </w:pPr>
      <w:rPr>
        <w:rFonts w:cs="Times New Roman"/>
      </w:rPr>
    </w:lvl>
    <w:lvl w:ilvl="3" w:tplc="0419000F" w:tentative="1">
      <w:start w:val="1"/>
      <w:numFmt w:val="decimal"/>
      <w:lvlText w:val="%4."/>
      <w:lvlJc w:val="left"/>
      <w:pPr>
        <w:tabs>
          <w:tab w:val="num" w:pos="3229"/>
        </w:tabs>
        <w:ind w:left="3229" w:hanging="360"/>
      </w:pPr>
      <w:rPr>
        <w:rFonts w:cs="Times New Roman"/>
      </w:rPr>
    </w:lvl>
    <w:lvl w:ilvl="4" w:tplc="04190019" w:tentative="1">
      <w:start w:val="1"/>
      <w:numFmt w:val="lowerLetter"/>
      <w:lvlText w:val="%5."/>
      <w:lvlJc w:val="left"/>
      <w:pPr>
        <w:tabs>
          <w:tab w:val="num" w:pos="3949"/>
        </w:tabs>
        <w:ind w:left="3949" w:hanging="360"/>
      </w:pPr>
      <w:rPr>
        <w:rFonts w:cs="Times New Roman"/>
      </w:rPr>
    </w:lvl>
    <w:lvl w:ilvl="5" w:tplc="0419001B" w:tentative="1">
      <w:start w:val="1"/>
      <w:numFmt w:val="lowerRoman"/>
      <w:lvlText w:val="%6."/>
      <w:lvlJc w:val="right"/>
      <w:pPr>
        <w:tabs>
          <w:tab w:val="num" w:pos="4669"/>
        </w:tabs>
        <w:ind w:left="4669" w:hanging="180"/>
      </w:pPr>
      <w:rPr>
        <w:rFonts w:cs="Times New Roman"/>
      </w:rPr>
    </w:lvl>
    <w:lvl w:ilvl="6" w:tplc="0419000F" w:tentative="1">
      <w:start w:val="1"/>
      <w:numFmt w:val="decimal"/>
      <w:lvlText w:val="%7."/>
      <w:lvlJc w:val="left"/>
      <w:pPr>
        <w:tabs>
          <w:tab w:val="num" w:pos="5389"/>
        </w:tabs>
        <w:ind w:left="5389" w:hanging="360"/>
      </w:pPr>
      <w:rPr>
        <w:rFonts w:cs="Times New Roman"/>
      </w:rPr>
    </w:lvl>
    <w:lvl w:ilvl="7" w:tplc="04190019" w:tentative="1">
      <w:start w:val="1"/>
      <w:numFmt w:val="lowerLetter"/>
      <w:lvlText w:val="%8."/>
      <w:lvlJc w:val="left"/>
      <w:pPr>
        <w:tabs>
          <w:tab w:val="num" w:pos="6109"/>
        </w:tabs>
        <w:ind w:left="6109" w:hanging="360"/>
      </w:pPr>
      <w:rPr>
        <w:rFonts w:cs="Times New Roman"/>
      </w:rPr>
    </w:lvl>
    <w:lvl w:ilvl="8" w:tplc="0419001B" w:tentative="1">
      <w:start w:val="1"/>
      <w:numFmt w:val="lowerRoman"/>
      <w:lvlText w:val="%9."/>
      <w:lvlJc w:val="right"/>
      <w:pPr>
        <w:tabs>
          <w:tab w:val="num" w:pos="6829"/>
        </w:tabs>
        <w:ind w:left="6829" w:hanging="180"/>
      </w:pPr>
      <w:rPr>
        <w:rFonts w:cs="Times New Roman"/>
      </w:rPr>
    </w:lvl>
  </w:abstractNum>
  <w:abstractNum w:abstractNumId="4">
    <w:nsid w:val="1C4A0731"/>
    <w:multiLevelType w:val="hybridMultilevel"/>
    <w:tmpl w:val="448AF90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20451FBF"/>
    <w:multiLevelType w:val="hybridMultilevel"/>
    <w:tmpl w:val="4A3C4264"/>
    <w:lvl w:ilvl="0" w:tplc="29FE77DE">
      <w:start w:val="1"/>
      <w:numFmt w:val="bullet"/>
      <w:lvlText w:val=""/>
      <w:lvlJc w:val="left"/>
      <w:pPr>
        <w:ind w:left="3621"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2514341"/>
    <w:multiLevelType w:val="hybridMultilevel"/>
    <w:tmpl w:val="DB76F308"/>
    <w:lvl w:ilvl="0" w:tplc="E2243242">
      <w:start w:val="9"/>
      <w:numFmt w:val="bullet"/>
      <w:lvlText w:val="–"/>
      <w:lvlJc w:val="left"/>
      <w:pPr>
        <w:tabs>
          <w:tab w:val="num" w:pos="588"/>
        </w:tabs>
        <w:ind w:left="588" w:firstLine="312"/>
      </w:pPr>
      <w:rPr>
        <w:rFonts w:ascii="Times New Roman" w:eastAsia="Times New Roman" w:hAnsi="Times New Roman" w:hint="default"/>
      </w:rPr>
    </w:lvl>
    <w:lvl w:ilvl="1" w:tplc="FFFFFFFF">
      <w:numFmt w:val="bullet"/>
      <w:lvlText w:val="-"/>
      <w:lvlJc w:val="left"/>
      <w:pPr>
        <w:tabs>
          <w:tab w:val="num" w:pos="1260"/>
        </w:tabs>
        <w:ind w:left="126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
    <w:nsid w:val="250E4A15"/>
    <w:multiLevelType w:val="hybridMultilevel"/>
    <w:tmpl w:val="144E70B6"/>
    <w:lvl w:ilvl="0" w:tplc="892AB674">
      <w:numFmt w:val="bullet"/>
      <w:lvlText w:val="-"/>
      <w:lvlJc w:val="left"/>
      <w:pPr>
        <w:ind w:left="899" w:hanging="360"/>
      </w:pPr>
      <w:rPr>
        <w:rFonts w:ascii="Times New Roman" w:eastAsia="Times New Roman" w:hAnsi="Times New Roman" w:hint="default"/>
      </w:rPr>
    </w:lvl>
    <w:lvl w:ilvl="1" w:tplc="04190003">
      <w:start w:val="1"/>
      <w:numFmt w:val="bullet"/>
      <w:lvlText w:val="o"/>
      <w:lvlJc w:val="left"/>
      <w:pPr>
        <w:ind w:left="1619" w:hanging="360"/>
      </w:pPr>
      <w:rPr>
        <w:rFonts w:ascii="Courier New" w:hAnsi="Courier New" w:hint="default"/>
      </w:rPr>
    </w:lvl>
    <w:lvl w:ilvl="2" w:tplc="04190005">
      <w:start w:val="1"/>
      <w:numFmt w:val="bullet"/>
      <w:lvlText w:val=""/>
      <w:lvlJc w:val="left"/>
      <w:pPr>
        <w:ind w:left="2339" w:hanging="360"/>
      </w:pPr>
      <w:rPr>
        <w:rFonts w:ascii="Wingdings" w:hAnsi="Wingdings" w:hint="default"/>
      </w:rPr>
    </w:lvl>
    <w:lvl w:ilvl="3" w:tplc="04190001">
      <w:start w:val="1"/>
      <w:numFmt w:val="bullet"/>
      <w:lvlText w:val=""/>
      <w:lvlJc w:val="left"/>
      <w:pPr>
        <w:ind w:left="3059" w:hanging="360"/>
      </w:pPr>
      <w:rPr>
        <w:rFonts w:ascii="Symbol" w:hAnsi="Symbol" w:hint="default"/>
      </w:rPr>
    </w:lvl>
    <w:lvl w:ilvl="4" w:tplc="04190003">
      <w:start w:val="1"/>
      <w:numFmt w:val="bullet"/>
      <w:lvlText w:val="o"/>
      <w:lvlJc w:val="left"/>
      <w:pPr>
        <w:ind w:left="3779" w:hanging="360"/>
      </w:pPr>
      <w:rPr>
        <w:rFonts w:ascii="Courier New" w:hAnsi="Courier New" w:hint="default"/>
      </w:rPr>
    </w:lvl>
    <w:lvl w:ilvl="5" w:tplc="04190005">
      <w:start w:val="1"/>
      <w:numFmt w:val="bullet"/>
      <w:lvlText w:val=""/>
      <w:lvlJc w:val="left"/>
      <w:pPr>
        <w:ind w:left="4499" w:hanging="360"/>
      </w:pPr>
      <w:rPr>
        <w:rFonts w:ascii="Wingdings" w:hAnsi="Wingdings" w:hint="default"/>
      </w:rPr>
    </w:lvl>
    <w:lvl w:ilvl="6" w:tplc="04190001">
      <w:start w:val="1"/>
      <w:numFmt w:val="bullet"/>
      <w:lvlText w:val=""/>
      <w:lvlJc w:val="left"/>
      <w:pPr>
        <w:ind w:left="5219" w:hanging="360"/>
      </w:pPr>
      <w:rPr>
        <w:rFonts w:ascii="Symbol" w:hAnsi="Symbol" w:hint="default"/>
      </w:rPr>
    </w:lvl>
    <w:lvl w:ilvl="7" w:tplc="04190003">
      <w:start w:val="1"/>
      <w:numFmt w:val="bullet"/>
      <w:lvlText w:val="o"/>
      <w:lvlJc w:val="left"/>
      <w:pPr>
        <w:ind w:left="5939" w:hanging="360"/>
      </w:pPr>
      <w:rPr>
        <w:rFonts w:ascii="Courier New" w:hAnsi="Courier New" w:hint="default"/>
      </w:rPr>
    </w:lvl>
    <w:lvl w:ilvl="8" w:tplc="04190005">
      <w:start w:val="1"/>
      <w:numFmt w:val="bullet"/>
      <w:lvlText w:val=""/>
      <w:lvlJc w:val="left"/>
      <w:pPr>
        <w:ind w:left="6659" w:hanging="360"/>
      </w:pPr>
      <w:rPr>
        <w:rFonts w:ascii="Wingdings" w:hAnsi="Wingdings" w:hint="default"/>
      </w:rPr>
    </w:lvl>
  </w:abstractNum>
  <w:abstractNum w:abstractNumId="8">
    <w:nsid w:val="27B4580E"/>
    <w:multiLevelType w:val="hybridMultilevel"/>
    <w:tmpl w:val="AA7A980A"/>
    <w:lvl w:ilvl="0" w:tplc="E2243242">
      <w:start w:val="9"/>
      <w:numFmt w:val="bullet"/>
      <w:lvlText w:val="–"/>
      <w:lvlJc w:val="left"/>
      <w:pPr>
        <w:ind w:left="1429" w:hanging="360"/>
      </w:pPr>
      <w:rPr>
        <w:rFonts w:ascii="Times New Roman" w:eastAsia="Times New Roman" w:hAnsi="Times New Roman"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9">
    <w:nsid w:val="2CBD0D85"/>
    <w:multiLevelType w:val="hybridMultilevel"/>
    <w:tmpl w:val="B8C03F7E"/>
    <w:lvl w:ilvl="0" w:tplc="CD467DC0">
      <w:start w:val="1"/>
      <w:numFmt w:val="decimal"/>
      <w:lvlText w:val="%1)"/>
      <w:lvlJc w:val="left"/>
      <w:pPr>
        <w:ind w:left="1714" w:hanging="1005"/>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10">
    <w:nsid w:val="2D1252F3"/>
    <w:multiLevelType w:val="hybridMultilevel"/>
    <w:tmpl w:val="FBE295DA"/>
    <w:lvl w:ilvl="0" w:tplc="EBE2E252">
      <w:numFmt w:val="bullet"/>
      <w:lvlText w:val="–"/>
      <w:lvlJc w:val="left"/>
      <w:pPr>
        <w:tabs>
          <w:tab w:val="num" w:pos="1069"/>
        </w:tabs>
        <w:ind w:left="1069" w:hanging="360"/>
      </w:pPr>
      <w:rPr>
        <w:rFonts w:ascii="Times New Roman" w:eastAsia="Times New Roman" w:hAnsi="Times New Roman" w:hint="default"/>
      </w:rPr>
    </w:lvl>
    <w:lvl w:ilvl="1" w:tplc="04190003" w:tentative="1">
      <w:start w:val="1"/>
      <w:numFmt w:val="bullet"/>
      <w:lvlText w:val="o"/>
      <w:lvlJc w:val="left"/>
      <w:pPr>
        <w:tabs>
          <w:tab w:val="num" w:pos="1789"/>
        </w:tabs>
        <w:ind w:left="1789" w:hanging="360"/>
      </w:pPr>
      <w:rPr>
        <w:rFonts w:ascii="Courier New" w:hAnsi="Courier New" w:hint="default"/>
      </w:rPr>
    </w:lvl>
    <w:lvl w:ilvl="2" w:tplc="04190005" w:tentative="1">
      <w:start w:val="1"/>
      <w:numFmt w:val="bullet"/>
      <w:lvlText w:val=""/>
      <w:lvlJc w:val="left"/>
      <w:pPr>
        <w:tabs>
          <w:tab w:val="num" w:pos="2509"/>
        </w:tabs>
        <w:ind w:left="2509" w:hanging="360"/>
      </w:pPr>
      <w:rPr>
        <w:rFonts w:ascii="Wingdings" w:hAnsi="Wingdings" w:hint="default"/>
      </w:rPr>
    </w:lvl>
    <w:lvl w:ilvl="3" w:tplc="04190001" w:tentative="1">
      <w:start w:val="1"/>
      <w:numFmt w:val="bullet"/>
      <w:lvlText w:val=""/>
      <w:lvlJc w:val="left"/>
      <w:pPr>
        <w:tabs>
          <w:tab w:val="num" w:pos="3229"/>
        </w:tabs>
        <w:ind w:left="3229" w:hanging="360"/>
      </w:pPr>
      <w:rPr>
        <w:rFonts w:ascii="Symbol" w:hAnsi="Symbol" w:hint="default"/>
      </w:rPr>
    </w:lvl>
    <w:lvl w:ilvl="4" w:tplc="04190003" w:tentative="1">
      <w:start w:val="1"/>
      <w:numFmt w:val="bullet"/>
      <w:lvlText w:val="o"/>
      <w:lvlJc w:val="left"/>
      <w:pPr>
        <w:tabs>
          <w:tab w:val="num" w:pos="3949"/>
        </w:tabs>
        <w:ind w:left="3949" w:hanging="360"/>
      </w:pPr>
      <w:rPr>
        <w:rFonts w:ascii="Courier New" w:hAnsi="Courier New" w:hint="default"/>
      </w:rPr>
    </w:lvl>
    <w:lvl w:ilvl="5" w:tplc="04190005" w:tentative="1">
      <w:start w:val="1"/>
      <w:numFmt w:val="bullet"/>
      <w:lvlText w:val=""/>
      <w:lvlJc w:val="left"/>
      <w:pPr>
        <w:tabs>
          <w:tab w:val="num" w:pos="4669"/>
        </w:tabs>
        <w:ind w:left="4669" w:hanging="360"/>
      </w:pPr>
      <w:rPr>
        <w:rFonts w:ascii="Wingdings" w:hAnsi="Wingdings" w:hint="default"/>
      </w:rPr>
    </w:lvl>
    <w:lvl w:ilvl="6" w:tplc="04190001" w:tentative="1">
      <w:start w:val="1"/>
      <w:numFmt w:val="bullet"/>
      <w:lvlText w:val=""/>
      <w:lvlJc w:val="left"/>
      <w:pPr>
        <w:tabs>
          <w:tab w:val="num" w:pos="5389"/>
        </w:tabs>
        <w:ind w:left="5389" w:hanging="360"/>
      </w:pPr>
      <w:rPr>
        <w:rFonts w:ascii="Symbol" w:hAnsi="Symbol" w:hint="default"/>
      </w:rPr>
    </w:lvl>
    <w:lvl w:ilvl="7" w:tplc="04190003" w:tentative="1">
      <w:start w:val="1"/>
      <w:numFmt w:val="bullet"/>
      <w:lvlText w:val="o"/>
      <w:lvlJc w:val="left"/>
      <w:pPr>
        <w:tabs>
          <w:tab w:val="num" w:pos="6109"/>
        </w:tabs>
        <w:ind w:left="6109" w:hanging="360"/>
      </w:pPr>
      <w:rPr>
        <w:rFonts w:ascii="Courier New" w:hAnsi="Courier New" w:hint="default"/>
      </w:rPr>
    </w:lvl>
    <w:lvl w:ilvl="8" w:tplc="04190005" w:tentative="1">
      <w:start w:val="1"/>
      <w:numFmt w:val="bullet"/>
      <w:lvlText w:val=""/>
      <w:lvlJc w:val="left"/>
      <w:pPr>
        <w:tabs>
          <w:tab w:val="num" w:pos="6829"/>
        </w:tabs>
        <w:ind w:left="6829" w:hanging="360"/>
      </w:pPr>
      <w:rPr>
        <w:rFonts w:ascii="Wingdings" w:hAnsi="Wingdings" w:hint="default"/>
      </w:rPr>
    </w:lvl>
  </w:abstractNum>
  <w:abstractNum w:abstractNumId="11">
    <w:nsid w:val="310E1508"/>
    <w:multiLevelType w:val="hybridMultilevel"/>
    <w:tmpl w:val="2780D980"/>
    <w:lvl w:ilvl="0" w:tplc="04190011">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2">
    <w:nsid w:val="3E5A55FB"/>
    <w:multiLevelType w:val="hybridMultilevel"/>
    <w:tmpl w:val="AC84CBA8"/>
    <w:lvl w:ilvl="0" w:tplc="9BF468AE">
      <w:numFmt w:val="bullet"/>
      <w:lvlText w:val="-"/>
      <w:lvlJc w:val="left"/>
      <w:pPr>
        <w:tabs>
          <w:tab w:val="num" w:pos="814"/>
        </w:tabs>
        <w:ind w:left="814" w:hanging="454"/>
      </w:pPr>
      <w:rPr>
        <w:rFonts w:ascii="Tw Cen MT Condensed Extra Bold" w:eastAsia="Times New Roman" w:hAnsi="Tw Cen MT Condensed Extra Bold"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1C97836"/>
    <w:multiLevelType w:val="hybridMultilevel"/>
    <w:tmpl w:val="558688CE"/>
    <w:lvl w:ilvl="0" w:tplc="E41A4158">
      <w:numFmt w:val="bullet"/>
      <w:lvlText w:val="-"/>
      <w:lvlJc w:val="left"/>
      <w:pPr>
        <w:tabs>
          <w:tab w:val="num" w:pos="720"/>
        </w:tabs>
        <w:ind w:left="720" w:hanging="360"/>
      </w:pPr>
      <w:rPr>
        <w:rFonts w:ascii="Times New Roman" w:eastAsia="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nsid w:val="462424A0"/>
    <w:multiLevelType w:val="hybridMultilevel"/>
    <w:tmpl w:val="AC28E8C8"/>
    <w:lvl w:ilvl="0" w:tplc="4ADC370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46AF7CF6"/>
    <w:multiLevelType w:val="hybridMultilevel"/>
    <w:tmpl w:val="6D862252"/>
    <w:lvl w:ilvl="0" w:tplc="44689A3C">
      <w:start w:val="1"/>
      <w:numFmt w:val="bullet"/>
      <w:lvlText w:val=""/>
      <w:lvlJc w:val="left"/>
      <w:pPr>
        <w:tabs>
          <w:tab w:val="num" w:pos="1276"/>
        </w:tabs>
        <w:ind w:left="1333" w:hanging="284"/>
      </w:pPr>
      <w:rPr>
        <w:rFonts w:ascii="Symbol" w:hAnsi="Symbol" w:hint="default"/>
        <w:color w:val="auto"/>
      </w:rPr>
    </w:lvl>
    <w:lvl w:ilvl="1" w:tplc="94F26FB4">
      <w:numFmt w:val="bullet"/>
      <w:lvlText w:val="-"/>
      <w:lvlJc w:val="left"/>
      <w:pPr>
        <w:tabs>
          <w:tab w:val="num" w:pos="2689"/>
        </w:tabs>
        <w:ind w:left="2689" w:hanging="900"/>
      </w:pPr>
      <w:rPr>
        <w:rFonts w:ascii="Times New Roman" w:eastAsia="Times New Roman" w:hAnsi="Times New Roman" w:hint="default"/>
        <w:color w:val="auto"/>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16">
    <w:nsid w:val="4FE127B6"/>
    <w:multiLevelType w:val="hybridMultilevel"/>
    <w:tmpl w:val="7CBEE624"/>
    <w:lvl w:ilvl="0" w:tplc="44689A3C">
      <w:start w:val="1"/>
      <w:numFmt w:val="bullet"/>
      <w:lvlText w:val=""/>
      <w:lvlJc w:val="left"/>
      <w:pPr>
        <w:tabs>
          <w:tab w:val="num" w:pos="567"/>
        </w:tabs>
        <w:ind w:left="624" w:hanging="284"/>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54546B36"/>
    <w:multiLevelType w:val="hybridMultilevel"/>
    <w:tmpl w:val="AFD6553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568D30AA"/>
    <w:multiLevelType w:val="hybridMultilevel"/>
    <w:tmpl w:val="E102B9E8"/>
    <w:lvl w:ilvl="0" w:tplc="586A5E5A">
      <w:numFmt w:val="bullet"/>
      <w:lvlText w:val="-"/>
      <w:lvlJc w:val="left"/>
      <w:pPr>
        <w:ind w:left="1068" w:hanging="360"/>
      </w:pPr>
      <w:rPr>
        <w:rFonts w:ascii="Times New Roman" w:eastAsia="Times New Roman" w:hAnsi="Times New Roman" w:hint="default"/>
      </w:rPr>
    </w:lvl>
    <w:lvl w:ilvl="1" w:tplc="04190003" w:tentative="1">
      <w:start w:val="1"/>
      <w:numFmt w:val="bullet"/>
      <w:lvlText w:val="o"/>
      <w:lvlJc w:val="left"/>
      <w:pPr>
        <w:ind w:left="1788" w:hanging="360"/>
      </w:pPr>
      <w:rPr>
        <w:rFonts w:ascii="Courier New" w:hAnsi="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19">
    <w:nsid w:val="57C85C3B"/>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0">
    <w:nsid w:val="58FF0754"/>
    <w:multiLevelType w:val="hybridMultilevel"/>
    <w:tmpl w:val="9E688D6C"/>
    <w:lvl w:ilvl="0" w:tplc="29FE77D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1">
    <w:nsid w:val="5FE93D0C"/>
    <w:multiLevelType w:val="hybridMultilevel"/>
    <w:tmpl w:val="539CE86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61E845B9"/>
    <w:multiLevelType w:val="multilevel"/>
    <w:tmpl w:val="0419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3">
    <w:nsid w:val="6C3D2B9A"/>
    <w:multiLevelType w:val="hybridMultilevel"/>
    <w:tmpl w:val="C0C83DCA"/>
    <w:lvl w:ilvl="0" w:tplc="CCA4512C">
      <w:start w:val="1"/>
      <w:numFmt w:val="bullet"/>
      <w:lvlText w:val=""/>
      <w:lvlJc w:val="left"/>
      <w:pPr>
        <w:ind w:left="928"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nsid w:val="70606EE7"/>
    <w:multiLevelType w:val="hybridMultilevel"/>
    <w:tmpl w:val="BAF4D0C4"/>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25">
    <w:nsid w:val="766E377B"/>
    <w:multiLevelType w:val="multilevel"/>
    <w:tmpl w:val="294E0BF8"/>
    <w:lvl w:ilvl="0">
      <w:start w:val="1"/>
      <w:numFmt w:val="decimal"/>
      <w:lvlText w:val="%1."/>
      <w:lvlJc w:val="left"/>
      <w:pPr>
        <w:ind w:left="360" w:hanging="360"/>
      </w:pPr>
      <w:rPr>
        <w:rFonts w:cs="Times New Roman" w:hint="default"/>
      </w:rPr>
    </w:lvl>
    <w:lvl w:ilvl="1">
      <w:start w:val="1"/>
      <w:numFmt w:val="decimal"/>
      <w:lvlText w:val="%1.%2."/>
      <w:lvlJc w:val="left"/>
      <w:pPr>
        <w:ind w:left="1000"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6">
    <w:nsid w:val="79DE048F"/>
    <w:multiLevelType w:val="hybridMultilevel"/>
    <w:tmpl w:val="041608A2"/>
    <w:lvl w:ilvl="0" w:tplc="4ADC3708">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nsid w:val="79E80120"/>
    <w:multiLevelType w:val="hybridMultilevel"/>
    <w:tmpl w:val="B936BC80"/>
    <w:lvl w:ilvl="0" w:tplc="AE42896A">
      <w:numFmt w:val="bullet"/>
      <w:lvlText w:val="-"/>
      <w:lvlJc w:val="left"/>
      <w:pPr>
        <w:tabs>
          <w:tab w:val="num" w:pos="993"/>
        </w:tabs>
        <w:ind w:left="993" w:hanging="284"/>
      </w:pPr>
      <w:rPr>
        <w:rFonts w:ascii="Tw Cen MT Condensed Extra Bold" w:eastAsia="Times New Roman" w:hAnsi="Tw Cen MT Condensed Extra Bold" w:hint="default"/>
      </w:rPr>
    </w:lvl>
    <w:lvl w:ilvl="1" w:tplc="04190003" w:tentative="1">
      <w:start w:val="1"/>
      <w:numFmt w:val="bullet"/>
      <w:lvlText w:val="o"/>
      <w:lvlJc w:val="left"/>
      <w:pPr>
        <w:tabs>
          <w:tab w:val="num" w:pos="2149"/>
        </w:tabs>
        <w:ind w:left="2149" w:hanging="360"/>
      </w:pPr>
      <w:rPr>
        <w:rFonts w:ascii="Courier New" w:hAnsi="Courier New" w:hint="default"/>
      </w:rPr>
    </w:lvl>
    <w:lvl w:ilvl="2" w:tplc="04190005" w:tentative="1">
      <w:start w:val="1"/>
      <w:numFmt w:val="bullet"/>
      <w:lvlText w:val=""/>
      <w:lvlJc w:val="left"/>
      <w:pPr>
        <w:tabs>
          <w:tab w:val="num" w:pos="2869"/>
        </w:tabs>
        <w:ind w:left="2869" w:hanging="360"/>
      </w:pPr>
      <w:rPr>
        <w:rFonts w:ascii="Wingdings" w:hAnsi="Wingdings" w:hint="default"/>
      </w:rPr>
    </w:lvl>
    <w:lvl w:ilvl="3" w:tplc="04190001" w:tentative="1">
      <w:start w:val="1"/>
      <w:numFmt w:val="bullet"/>
      <w:lvlText w:val=""/>
      <w:lvlJc w:val="left"/>
      <w:pPr>
        <w:tabs>
          <w:tab w:val="num" w:pos="3589"/>
        </w:tabs>
        <w:ind w:left="3589" w:hanging="360"/>
      </w:pPr>
      <w:rPr>
        <w:rFonts w:ascii="Symbol" w:hAnsi="Symbol" w:hint="default"/>
      </w:rPr>
    </w:lvl>
    <w:lvl w:ilvl="4" w:tplc="04190003" w:tentative="1">
      <w:start w:val="1"/>
      <w:numFmt w:val="bullet"/>
      <w:lvlText w:val="o"/>
      <w:lvlJc w:val="left"/>
      <w:pPr>
        <w:tabs>
          <w:tab w:val="num" w:pos="4309"/>
        </w:tabs>
        <w:ind w:left="4309" w:hanging="360"/>
      </w:pPr>
      <w:rPr>
        <w:rFonts w:ascii="Courier New" w:hAnsi="Courier New" w:hint="default"/>
      </w:rPr>
    </w:lvl>
    <w:lvl w:ilvl="5" w:tplc="04190005" w:tentative="1">
      <w:start w:val="1"/>
      <w:numFmt w:val="bullet"/>
      <w:lvlText w:val=""/>
      <w:lvlJc w:val="left"/>
      <w:pPr>
        <w:tabs>
          <w:tab w:val="num" w:pos="5029"/>
        </w:tabs>
        <w:ind w:left="5029" w:hanging="360"/>
      </w:pPr>
      <w:rPr>
        <w:rFonts w:ascii="Wingdings" w:hAnsi="Wingdings" w:hint="default"/>
      </w:rPr>
    </w:lvl>
    <w:lvl w:ilvl="6" w:tplc="04190001" w:tentative="1">
      <w:start w:val="1"/>
      <w:numFmt w:val="bullet"/>
      <w:lvlText w:val=""/>
      <w:lvlJc w:val="left"/>
      <w:pPr>
        <w:tabs>
          <w:tab w:val="num" w:pos="5749"/>
        </w:tabs>
        <w:ind w:left="5749" w:hanging="360"/>
      </w:pPr>
      <w:rPr>
        <w:rFonts w:ascii="Symbol" w:hAnsi="Symbol" w:hint="default"/>
      </w:rPr>
    </w:lvl>
    <w:lvl w:ilvl="7" w:tplc="04190003" w:tentative="1">
      <w:start w:val="1"/>
      <w:numFmt w:val="bullet"/>
      <w:lvlText w:val="o"/>
      <w:lvlJc w:val="left"/>
      <w:pPr>
        <w:tabs>
          <w:tab w:val="num" w:pos="6469"/>
        </w:tabs>
        <w:ind w:left="6469" w:hanging="360"/>
      </w:pPr>
      <w:rPr>
        <w:rFonts w:ascii="Courier New" w:hAnsi="Courier New" w:hint="default"/>
      </w:rPr>
    </w:lvl>
    <w:lvl w:ilvl="8" w:tplc="04190005" w:tentative="1">
      <w:start w:val="1"/>
      <w:numFmt w:val="bullet"/>
      <w:lvlText w:val=""/>
      <w:lvlJc w:val="left"/>
      <w:pPr>
        <w:tabs>
          <w:tab w:val="num" w:pos="7189"/>
        </w:tabs>
        <w:ind w:left="7189" w:hanging="360"/>
      </w:pPr>
      <w:rPr>
        <w:rFonts w:ascii="Wingdings" w:hAnsi="Wingdings" w:hint="default"/>
      </w:rPr>
    </w:lvl>
  </w:abstractNum>
  <w:abstractNum w:abstractNumId="28">
    <w:nsid w:val="7A903A4B"/>
    <w:multiLevelType w:val="hybridMultilevel"/>
    <w:tmpl w:val="1AD606C0"/>
    <w:lvl w:ilvl="0" w:tplc="CCA4512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9"/>
  </w:num>
  <w:num w:numId="2">
    <w:abstractNumId w:val="25"/>
  </w:num>
  <w:num w:numId="3">
    <w:abstractNumId w:val="8"/>
  </w:num>
  <w:num w:numId="4">
    <w:abstractNumId w:val="5"/>
  </w:num>
  <w:num w:numId="5">
    <w:abstractNumId w:val="20"/>
  </w:num>
  <w:num w:numId="6">
    <w:abstractNumId w:val="6"/>
  </w:num>
  <w:num w:numId="7">
    <w:abstractNumId w:val="22"/>
  </w:num>
  <w:num w:numId="8">
    <w:abstractNumId w:val="16"/>
  </w:num>
  <w:num w:numId="9">
    <w:abstractNumId w:val="0"/>
  </w:num>
  <w:num w:numId="10">
    <w:abstractNumId w:val="28"/>
  </w:num>
  <w:num w:numId="11">
    <w:abstractNumId w:val="17"/>
  </w:num>
  <w:num w:numId="12">
    <w:abstractNumId w:val="15"/>
  </w:num>
  <w:num w:numId="13">
    <w:abstractNumId w:val="23"/>
  </w:num>
  <w:num w:numId="14">
    <w:abstractNumId w:val="1"/>
  </w:num>
  <w:num w:numId="15">
    <w:abstractNumId w:val="2"/>
  </w:num>
  <w:num w:numId="16">
    <w:abstractNumId w:val="24"/>
  </w:num>
  <w:num w:numId="17">
    <w:abstractNumId w:val="9"/>
  </w:num>
  <w:num w:numId="18">
    <w:abstractNumId w:val="11"/>
  </w:num>
  <w:num w:numId="19">
    <w:abstractNumId w:val="2"/>
  </w:num>
  <w:num w:numId="20">
    <w:abstractNumId w:val="18"/>
  </w:num>
  <w:num w:numId="21">
    <w:abstractNumId w:val="10"/>
  </w:num>
  <w:num w:numId="22">
    <w:abstractNumId w:val="3"/>
  </w:num>
  <w:num w:numId="23">
    <w:abstractNumId w:val="7"/>
  </w:num>
  <w:num w:numId="24">
    <w:abstractNumId w:val="4"/>
  </w:num>
  <w:num w:numId="25">
    <w:abstractNumId w:val="14"/>
  </w:num>
  <w:num w:numId="26">
    <w:abstractNumId w:val="13"/>
  </w:num>
  <w:num w:numId="27">
    <w:abstractNumId w:val="26"/>
  </w:num>
  <w:num w:numId="28">
    <w:abstractNumId w:val="21"/>
  </w:num>
  <w:num w:numId="29">
    <w:abstractNumId w:val="12"/>
  </w:num>
  <w:num w:numId="30">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A00A8"/>
    <w:rsid w:val="00004191"/>
    <w:rsid w:val="00007E63"/>
    <w:rsid w:val="00010A6F"/>
    <w:rsid w:val="000125E1"/>
    <w:rsid w:val="00012729"/>
    <w:rsid w:val="00014984"/>
    <w:rsid w:val="000178B7"/>
    <w:rsid w:val="000179F8"/>
    <w:rsid w:val="000202B3"/>
    <w:rsid w:val="00030632"/>
    <w:rsid w:val="00036640"/>
    <w:rsid w:val="0005215F"/>
    <w:rsid w:val="00064B93"/>
    <w:rsid w:val="00076498"/>
    <w:rsid w:val="000772A9"/>
    <w:rsid w:val="000815DA"/>
    <w:rsid w:val="0009390E"/>
    <w:rsid w:val="00093AD7"/>
    <w:rsid w:val="00094496"/>
    <w:rsid w:val="000A00F3"/>
    <w:rsid w:val="000A7B95"/>
    <w:rsid w:val="000B2150"/>
    <w:rsid w:val="000B2AE3"/>
    <w:rsid w:val="000B7929"/>
    <w:rsid w:val="000B7D1E"/>
    <w:rsid w:val="000C402E"/>
    <w:rsid w:val="000D2298"/>
    <w:rsid w:val="000D446C"/>
    <w:rsid w:val="000E7D97"/>
    <w:rsid w:val="000F026F"/>
    <w:rsid w:val="000F2FCB"/>
    <w:rsid w:val="000F3297"/>
    <w:rsid w:val="000F7D8B"/>
    <w:rsid w:val="00103D0A"/>
    <w:rsid w:val="00105F15"/>
    <w:rsid w:val="00107582"/>
    <w:rsid w:val="00110755"/>
    <w:rsid w:val="00112742"/>
    <w:rsid w:val="001134E3"/>
    <w:rsid w:val="00120A27"/>
    <w:rsid w:val="001256C1"/>
    <w:rsid w:val="0012766A"/>
    <w:rsid w:val="00133111"/>
    <w:rsid w:val="00135E30"/>
    <w:rsid w:val="001443DB"/>
    <w:rsid w:val="00144DE6"/>
    <w:rsid w:val="00146328"/>
    <w:rsid w:val="00146416"/>
    <w:rsid w:val="00155385"/>
    <w:rsid w:val="001619E1"/>
    <w:rsid w:val="00164BE0"/>
    <w:rsid w:val="00167C68"/>
    <w:rsid w:val="0018063F"/>
    <w:rsid w:val="001953B0"/>
    <w:rsid w:val="001A0EB8"/>
    <w:rsid w:val="001A269E"/>
    <w:rsid w:val="001A3D50"/>
    <w:rsid w:val="001A7B89"/>
    <w:rsid w:val="001B1DC9"/>
    <w:rsid w:val="001C15DD"/>
    <w:rsid w:val="001C287E"/>
    <w:rsid w:val="001C35EC"/>
    <w:rsid w:val="001C5BCD"/>
    <w:rsid w:val="001C7CFA"/>
    <w:rsid w:val="001D1D8A"/>
    <w:rsid w:val="001D7E75"/>
    <w:rsid w:val="001E1E77"/>
    <w:rsid w:val="001E6591"/>
    <w:rsid w:val="001F18E5"/>
    <w:rsid w:val="001F22DA"/>
    <w:rsid w:val="001F335C"/>
    <w:rsid w:val="001F4DA7"/>
    <w:rsid w:val="0020064F"/>
    <w:rsid w:val="002013E7"/>
    <w:rsid w:val="00201C83"/>
    <w:rsid w:val="00203014"/>
    <w:rsid w:val="00205F11"/>
    <w:rsid w:val="0020627C"/>
    <w:rsid w:val="00216499"/>
    <w:rsid w:val="00220771"/>
    <w:rsid w:val="00231B45"/>
    <w:rsid w:val="0023348C"/>
    <w:rsid w:val="00241A49"/>
    <w:rsid w:val="00242195"/>
    <w:rsid w:val="00252BC2"/>
    <w:rsid w:val="00252E34"/>
    <w:rsid w:val="00253957"/>
    <w:rsid w:val="00256850"/>
    <w:rsid w:val="00257CCC"/>
    <w:rsid w:val="00261818"/>
    <w:rsid w:val="00284227"/>
    <w:rsid w:val="002850E3"/>
    <w:rsid w:val="00290D48"/>
    <w:rsid w:val="002A6CF2"/>
    <w:rsid w:val="002B089D"/>
    <w:rsid w:val="002B0B26"/>
    <w:rsid w:val="002C150E"/>
    <w:rsid w:val="002C21F8"/>
    <w:rsid w:val="002C3B32"/>
    <w:rsid w:val="002D692B"/>
    <w:rsid w:val="002E2BF4"/>
    <w:rsid w:val="002E5CA3"/>
    <w:rsid w:val="002F1ED6"/>
    <w:rsid w:val="002F4F97"/>
    <w:rsid w:val="0030023F"/>
    <w:rsid w:val="00303635"/>
    <w:rsid w:val="00306A90"/>
    <w:rsid w:val="0031258C"/>
    <w:rsid w:val="00312D3C"/>
    <w:rsid w:val="00314647"/>
    <w:rsid w:val="003210E3"/>
    <w:rsid w:val="003220D5"/>
    <w:rsid w:val="00323EAB"/>
    <w:rsid w:val="0032476B"/>
    <w:rsid w:val="003354FE"/>
    <w:rsid w:val="00336C55"/>
    <w:rsid w:val="00340871"/>
    <w:rsid w:val="00351334"/>
    <w:rsid w:val="00362A7B"/>
    <w:rsid w:val="0036304A"/>
    <w:rsid w:val="00366D8A"/>
    <w:rsid w:val="00370345"/>
    <w:rsid w:val="00377C9C"/>
    <w:rsid w:val="00381E59"/>
    <w:rsid w:val="0039148A"/>
    <w:rsid w:val="003920EF"/>
    <w:rsid w:val="003972C7"/>
    <w:rsid w:val="003A2922"/>
    <w:rsid w:val="003A31D6"/>
    <w:rsid w:val="003A76C0"/>
    <w:rsid w:val="003B35BD"/>
    <w:rsid w:val="003B519A"/>
    <w:rsid w:val="003C15F1"/>
    <w:rsid w:val="003C3665"/>
    <w:rsid w:val="003D0B64"/>
    <w:rsid w:val="003D0F01"/>
    <w:rsid w:val="003E46C1"/>
    <w:rsid w:val="003E54E1"/>
    <w:rsid w:val="003F6564"/>
    <w:rsid w:val="003F6F03"/>
    <w:rsid w:val="004166AE"/>
    <w:rsid w:val="004259A4"/>
    <w:rsid w:val="00432DD3"/>
    <w:rsid w:val="00433429"/>
    <w:rsid w:val="00435557"/>
    <w:rsid w:val="00440298"/>
    <w:rsid w:val="004402E1"/>
    <w:rsid w:val="00442979"/>
    <w:rsid w:val="00451A40"/>
    <w:rsid w:val="00461671"/>
    <w:rsid w:val="00461A46"/>
    <w:rsid w:val="00473624"/>
    <w:rsid w:val="00476467"/>
    <w:rsid w:val="00485B04"/>
    <w:rsid w:val="00487FF9"/>
    <w:rsid w:val="00495688"/>
    <w:rsid w:val="00495783"/>
    <w:rsid w:val="00497C3E"/>
    <w:rsid w:val="004A13A7"/>
    <w:rsid w:val="004A4185"/>
    <w:rsid w:val="004A7A19"/>
    <w:rsid w:val="004A7BA6"/>
    <w:rsid w:val="004B76BA"/>
    <w:rsid w:val="004C4C7E"/>
    <w:rsid w:val="004D040A"/>
    <w:rsid w:val="004D50A3"/>
    <w:rsid w:val="004D59F6"/>
    <w:rsid w:val="004E4379"/>
    <w:rsid w:val="004E76DC"/>
    <w:rsid w:val="004E7B5C"/>
    <w:rsid w:val="004F40EE"/>
    <w:rsid w:val="005029E9"/>
    <w:rsid w:val="005030D5"/>
    <w:rsid w:val="0050442E"/>
    <w:rsid w:val="00512C2E"/>
    <w:rsid w:val="00513FA4"/>
    <w:rsid w:val="00517269"/>
    <w:rsid w:val="00517B3A"/>
    <w:rsid w:val="00520C02"/>
    <w:rsid w:val="0052120C"/>
    <w:rsid w:val="00521357"/>
    <w:rsid w:val="005222F7"/>
    <w:rsid w:val="00523E5C"/>
    <w:rsid w:val="005307E3"/>
    <w:rsid w:val="00530B0D"/>
    <w:rsid w:val="0053329E"/>
    <w:rsid w:val="00546F52"/>
    <w:rsid w:val="00554DC1"/>
    <w:rsid w:val="00562177"/>
    <w:rsid w:val="00565EC1"/>
    <w:rsid w:val="00580AFE"/>
    <w:rsid w:val="00586E22"/>
    <w:rsid w:val="005A7FFD"/>
    <w:rsid w:val="005B5089"/>
    <w:rsid w:val="005B7300"/>
    <w:rsid w:val="005C3BF5"/>
    <w:rsid w:val="005C5888"/>
    <w:rsid w:val="005D2F8B"/>
    <w:rsid w:val="005D4BBD"/>
    <w:rsid w:val="005E18BF"/>
    <w:rsid w:val="005F3F96"/>
    <w:rsid w:val="006053D1"/>
    <w:rsid w:val="0061698F"/>
    <w:rsid w:val="0062014D"/>
    <w:rsid w:val="006214F2"/>
    <w:rsid w:val="006319EC"/>
    <w:rsid w:val="00633CC7"/>
    <w:rsid w:val="006441EB"/>
    <w:rsid w:val="00645847"/>
    <w:rsid w:val="00661F9E"/>
    <w:rsid w:val="0067573F"/>
    <w:rsid w:val="00676C66"/>
    <w:rsid w:val="00676ED5"/>
    <w:rsid w:val="006974A7"/>
    <w:rsid w:val="006A7E30"/>
    <w:rsid w:val="006B2AAF"/>
    <w:rsid w:val="006B3A49"/>
    <w:rsid w:val="006B4738"/>
    <w:rsid w:val="006C0611"/>
    <w:rsid w:val="006C4131"/>
    <w:rsid w:val="006C499C"/>
    <w:rsid w:val="006E6A4E"/>
    <w:rsid w:val="006F1E51"/>
    <w:rsid w:val="006F780A"/>
    <w:rsid w:val="00700AB4"/>
    <w:rsid w:val="0070474F"/>
    <w:rsid w:val="0071594C"/>
    <w:rsid w:val="00717AFE"/>
    <w:rsid w:val="0074456E"/>
    <w:rsid w:val="00747A55"/>
    <w:rsid w:val="00755249"/>
    <w:rsid w:val="00755624"/>
    <w:rsid w:val="00760D83"/>
    <w:rsid w:val="00771069"/>
    <w:rsid w:val="00771D48"/>
    <w:rsid w:val="00775CC3"/>
    <w:rsid w:val="00783FD4"/>
    <w:rsid w:val="0078497D"/>
    <w:rsid w:val="0078506C"/>
    <w:rsid w:val="0079015B"/>
    <w:rsid w:val="00790564"/>
    <w:rsid w:val="0079419A"/>
    <w:rsid w:val="007A5BAA"/>
    <w:rsid w:val="007B1A4A"/>
    <w:rsid w:val="007C391C"/>
    <w:rsid w:val="007C46AC"/>
    <w:rsid w:val="007C5C85"/>
    <w:rsid w:val="007C7650"/>
    <w:rsid w:val="007E0CFB"/>
    <w:rsid w:val="007E31D4"/>
    <w:rsid w:val="007E6F31"/>
    <w:rsid w:val="007F05AA"/>
    <w:rsid w:val="007F6439"/>
    <w:rsid w:val="007F69EE"/>
    <w:rsid w:val="00810BB2"/>
    <w:rsid w:val="0081214A"/>
    <w:rsid w:val="00817ABA"/>
    <w:rsid w:val="008209C5"/>
    <w:rsid w:val="008217EA"/>
    <w:rsid w:val="00821A28"/>
    <w:rsid w:val="008224A2"/>
    <w:rsid w:val="00831BBD"/>
    <w:rsid w:val="0084727A"/>
    <w:rsid w:val="00852196"/>
    <w:rsid w:val="008557CA"/>
    <w:rsid w:val="0086175B"/>
    <w:rsid w:val="00864F92"/>
    <w:rsid w:val="008670A9"/>
    <w:rsid w:val="00867AAA"/>
    <w:rsid w:val="00867EEE"/>
    <w:rsid w:val="00874170"/>
    <w:rsid w:val="008A0561"/>
    <w:rsid w:val="008A2248"/>
    <w:rsid w:val="008A46A2"/>
    <w:rsid w:val="008B4314"/>
    <w:rsid w:val="008B4346"/>
    <w:rsid w:val="008B505C"/>
    <w:rsid w:val="008C325E"/>
    <w:rsid w:val="008D3F62"/>
    <w:rsid w:val="008D7869"/>
    <w:rsid w:val="008E070E"/>
    <w:rsid w:val="008E1CEF"/>
    <w:rsid w:val="009008B2"/>
    <w:rsid w:val="009026D1"/>
    <w:rsid w:val="00905CD9"/>
    <w:rsid w:val="00907167"/>
    <w:rsid w:val="00907D54"/>
    <w:rsid w:val="00910B03"/>
    <w:rsid w:val="009125A0"/>
    <w:rsid w:val="00917532"/>
    <w:rsid w:val="00927587"/>
    <w:rsid w:val="00930374"/>
    <w:rsid w:val="00932E2B"/>
    <w:rsid w:val="0094276C"/>
    <w:rsid w:val="00956D72"/>
    <w:rsid w:val="0096042B"/>
    <w:rsid w:val="00963528"/>
    <w:rsid w:val="009643A7"/>
    <w:rsid w:val="0096455D"/>
    <w:rsid w:val="00965B84"/>
    <w:rsid w:val="0096731C"/>
    <w:rsid w:val="00975106"/>
    <w:rsid w:val="009778F5"/>
    <w:rsid w:val="00980988"/>
    <w:rsid w:val="00980CAE"/>
    <w:rsid w:val="009819D8"/>
    <w:rsid w:val="00984A1E"/>
    <w:rsid w:val="00985342"/>
    <w:rsid w:val="0099182B"/>
    <w:rsid w:val="009B4196"/>
    <w:rsid w:val="009B69A5"/>
    <w:rsid w:val="009C2A84"/>
    <w:rsid w:val="009C7A61"/>
    <w:rsid w:val="009E473A"/>
    <w:rsid w:val="009F28CC"/>
    <w:rsid w:val="00A02F1B"/>
    <w:rsid w:val="00A039A8"/>
    <w:rsid w:val="00A1694F"/>
    <w:rsid w:val="00A1699B"/>
    <w:rsid w:val="00A20125"/>
    <w:rsid w:val="00A2054C"/>
    <w:rsid w:val="00A24BF4"/>
    <w:rsid w:val="00A2503B"/>
    <w:rsid w:val="00A258AB"/>
    <w:rsid w:val="00A26E6D"/>
    <w:rsid w:val="00A347FF"/>
    <w:rsid w:val="00A377FB"/>
    <w:rsid w:val="00A416AE"/>
    <w:rsid w:val="00A44D57"/>
    <w:rsid w:val="00A44E65"/>
    <w:rsid w:val="00A570DE"/>
    <w:rsid w:val="00A630A2"/>
    <w:rsid w:val="00A672D8"/>
    <w:rsid w:val="00A73076"/>
    <w:rsid w:val="00A85C4F"/>
    <w:rsid w:val="00A86E56"/>
    <w:rsid w:val="00A97E7B"/>
    <w:rsid w:val="00AA4B5E"/>
    <w:rsid w:val="00AB003B"/>
    <w:rsid w:val="00AB6F64"/>
    <w:rsid w:val="00AD0E9A"/>
    <w:rsid w:val="00AD1BDB"/>
    <w:rsid w:val="00AD67DF"/>
    <w:rsid w:val="00AE10E6"/>
    <w:rsid w:val="00AE5B31"/>
    <w:rsid w:val="00AF77ED"/>
    <w:rsid w:val="00B02451"/>
    <w:rsid w:val="00B04CAE"/>
    <w:rsid w:val="00B10CC2"/>
    <w:rsid w:val="00B14B07"/>
    <w:rsid w:val="00B14F54"/>
    <w:rsid w:val="00B235A7"/>
    <w:rsid w:val="00B33612"/>
    <w:rsid w:val="00B46661"/>
    <w:rsid w:val="00B510B3"/>
    <w:rsid w:val="00B512B4"/>
    <w:rsid w:val="00B53108"/>
    <w:rsid w:val="00B570BE"/>
    <w:rsid w:val="00B75795"/>
    <w:rsid w:val="00B77DBD"/>
    <w:rsid w:val="00B83494"/>
    <w:rsid w:val="00B859F5"/>
    <w:rsid w:val="00B9031F"/>
    <w:rsid w:val="00B9690E"/>
    <w:rsid w:val="00BA167C"/>
    <w:rsid w:val="00BA4B75"/>
    <w:rsid w:val="00BA7563"/>
    <w:rsid w:val="00BB1E3B"/>
    <w:rsid w:val="00BB2B77"/>
    <w:rsid w:val="00BB2E3C"/>
    <w:rsid w:val="00BB3F1A"/>
    <w:rsid w:val="00BC6AC1"/>
    <w:rsid w:val="00BD1B73"/>
    <w:rsid w:val="00BD25B2"/>
    <w:rsid w:val="00BE1034"/>
    <w:rsid w:val="00BE5CE2"/>
    <w:rsid w:val="00BE6EFC"/>
    <w:rsid w:val="00C010E3"/>
    <w:rsid w:val="00C050ED"/>
    <w:rsid w:val="00C13732"/>
    <w:rsid w:val="00C3130F"/>
    <w:rsid w:val="00C325F1"/>
    <w:rsid w:val="00C3558E"/>
    <w:rsid w:val="00C4128C"/>
    <w:rsid w:val="00C4626C"/>
    <w:rsid w:val="00C51AFF"/>
    <w:rsid w:val="00C62AD0"/>
    <w:rsid w:val="00C71EE1"/>
    <w:rsid w:val="00C753EB"/>
    <w:rsid w:val="00C86E81"/>
    <w:rsid w:val="00C90AE5"/>
    <w:rsid w:val="00C9271E"/>
    <w:rsid w:val="00C9395F"/>
    <w:rsid w:val="00C96662"/>
    <w:rsid w:val="00C9741D"/>
    <w:rsid w:val="00CA00A8"/>
    <w:rsid w:val="00CA3485"/>
    <w:rsid w:val="00CA7B0A"/>
    <w:rsid w:val="00CB205B"/>
    <w:rsid w:val="00CB46CA"/>
    <w:rsid w:val="00CB6596"/>
    <w:rsid w:val="00CC2869"/>
    <w:rsid w:val="00CC6408"/>
    <w:rsid w:val="00CC7388"/>
    <w:rsid w:val="00CD1712"/>
    <w:rsid w:val="00CD4406"/>
    <w:rsid w:val="00CE084A"/>
    <w:rsid w:val="00CE698F"/>
    <w:rsid w:val="00CE69FD"/>
    <w:rsid w:val="00CE6FCA"/>
    <w:rsid w:val="00CE78F4"/>
    <w:rsid w:val="00D021E9"/>
    <w:rsid w:val="00D06278"/>
    <w:rsid w:val="00D06399"/>
    <w:rsid w:val="00D119F7"/>
    <w:rsid w:val="00D1645B"/>
    <w:rsid w:val="00D21670"/>
    <w:rsid w:val="00D32105"/>
    <w:rsid w:val="00D44AF3"/>
    <w:rsid w:val="00D47F7C"/>
    <w:rsid w:val="00D5360B"/>
    <w:rsid w:val="00D56482"/>
    <w:rsid w:val="00D603D3"/>
    <w:rsid w:val="00D83460"/>
    <w:rsid w:val="00D834A7"/>
    <w:rsid w:val="00D9031E"/>
    <w:rsid w:val="00D9161A"/>
    <w:rsid w:val="00D96D57"/>
    <w:rsid w:val="00D96F0D"/>
    <w:rsid w:val="00DA0521"/>
    <w:rsid w:val="00DA21D4"/>
    <w:rsid w:val="00DA6CC8"/>
    <w:rsid w:val="00DA75AA"/>
    <w:rsid w:val="00DB4CFD"/>
    <w:rsid w:val="00DB6AA2"/>
    <w:rsid w:val="00DC0F81"/>
    <w:rsid w:val="00DC3251"/>
    <w:rsid w:val="00DC730B"/>
    <w:rsid w:val="00DD2629"/>
    <w:rsid w:val="00DD5085"/>
    <w:rsid w:val="00DD567B"/>
    <w:rsid w:val="00DE6E88"/>
    <w:rsid w:val="00DF13A8"/>
    <w:rsid w:val="00DF518B"/>
    <w:rsid w:val="00DF6DA7"/>
    <w:rsid w:val="00DF7B3A"/>
    <w:rsid w:val="00E01920"/>
    <w:rsid w:val="00E16C5E"/>
    <w:rsid w:val="00E172CE"/>
    <w:rsid w:val="00E20201"/>
    <w:rsid w:val="00E24026"/>
    <w:rsid w:val="00E242F7"/>
    <w:rsid w:val="00E257C7"/>
    <w:rsid w:val="00E54AE3"/>
    <w:rsid w:val="00E54FA5"/>
    <w:rsid w:val="00E6615A"/>
    <w:rsid w:val="00E75922"/>
    <w:rsid w:val="00E80E95"/>
    <w:rsid w:val="00E84ECB"/>
    <w:rsid w:val="00E91E5C"/>
    <w:rsid w:val="00E92165"/>
    <w:rsid w:val="00E95578"/>
    <w:rsid w:val="00EB0E7E"/>
    <w:rsid w:val="00EB69EF"/>
    <w:rsid w:val="00ED4D45"/>
    <w:rsid w:val="00EE3E8A"/>
    <w:rsid w:val="00EF26C8"/>
    <w:rsid w:val="00F04247"/>
    <w:rsid w:val="00F116D4"/>
    <w:rsid w:val="00F11D25"/>
    <w:rsid w:val="00F169F2"/>
    <w:rsid w:val="00F17B94"/>
    <w:rsid w:val="00F20C07"/>
    <w:rsid w:val="00F24651"/>
    <w:rsid w:val="00F25799"/>
    <w:rsid w:val="00F31749"/>
    <w:rsid w:val="00F5198B"/>
    <w:rsid w:val="00F520DF"/>
    <w:rsid w:val="00F53B9F"/>
    <w:rsid w:val="00F55038"/>
    <w:rsid w:val="00F56707"/>
    <w:rsid w:val="00F60D83"/>
    <w:rsid w:val="00F61914"/>
    <w:rsid w:val="00F73D31"/>
    <w:rsid w:val="00F77385"/>
    <w:rsid w:val="00F91EDA"/>
    <w:rsid w:val="00FA7B05"/>
    <w:rsid w:val="00FB2E61"/>
    <w:rsid w:val="00FB62A1"/>
    <w:rsid w:val="00FD0A24"/>
    <w:rsid w:val="00FD3593"/>
    <w:rsid w:val="00FE092F"/>
    <w:rsid w:val="00FE1EAE"/>
    <w:rsid w:val="00FE5791"/>
    <w:rsid w:val="00FF739D"/>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locked="1" w:semiHidden="0" w:uiPriority="0" w:unhideWhenUsed="0"/>
    <w:lsdException w:name="caption" w:locked="1" w:uiPriority="0" w:qFormat="1"/>
    <w:lsdException w:name="footnote reference" w:locked="1" w:semiHidden="0" w:uiPriority="0" w:unhideWhenUsed="0"/>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Normal (Web)" w:locked="1" w:semiHidden="0" w:uiPriority="0" w:unhideWhenUsed="0"/>
    <w:lsdException w:name="HTML Preformatted" w:locked="1" w:semiHidden="0" w:uiPriority="0" w:unhideWhenUsed="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8497D"/>
    <w:pPr>
      <w:spacing w:after="200" w:line="276" w:lineRule="auto"/>
    </w:pPr>
    <w:rPr>
      <w:sz w:val="22"/>
      <w:szCs w:val="22"/>
      <w:lang w:eastAsia="en-US"/>
    </w:rPr>
  </w:style>
  <w:style w:type="paragraph" w:styleId="1">
    <w:name w:val="heading 1"/>
    <w:basedOn w:val="a"/>
    <w:link w:val="10"/>
    <w:uiPriority w:val="99"/>
    <w:qFormat/>
    <w:rsid w:val="00A24BF4"/>
    <w:pPr>
      <w:spacing w:before="100" w:beforeAutospacing="1" w:after="100" w:afterAutospacing="1" w:line="240" w:lineRule="auto"/>
      <w:outlineLvl w:val="0"/>
    </w:pPr>
    <w:rPr>
      <w:rFonts w:ascii="Times New Roman" w:hAnsi="Times New Roman"/>
      <w:b/>
      <w:kern w:val="36"/>
      <w:sz w:val="48"/>
      <w:szCs w:val="20"/>
      <w:lang w:val="en-US" w:eastAsia="ru-RU"/>
    </w:rPr>
  </w:style>
  <w:style w:type="paragraph" w:styleId="2">
    <w:name w:val="heading 2"/>
    <w:basedOn w:val="a"/>
    <w:next w:val="a"/>
    <w:link w:val="20"/>
    <w:uiPriority w:val="99"/>
    <w:qFormat/>
    <w:locked/>
    <w:rsid w:val="00907D54"/>
    <w:pPr>
      <w:keepNext/>
      <w:spacing w:before="240" w:after="60"/>
      <w:outlineLvl w:val="1"/>
    </w:pPr>
    <w:rPr>
      <w:rFonts w:ascii="Cambria" w:eastAsia="Times New Roman" w:hAnsi="Cambria"/>
      <w:b/>
      <w:bCs/>
      <w:i/>
      <w:iCs/>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A24BF4"/>
    <w:rPr>
      <w:rFonts w:ascii="Times New Roman" w:hAnsi="Times New Roman"/>
      <w:b/>
      <w:kern w:val="36"/>
      <w:sz w:val="48"/>
    </w:rPr>
  </w:style>
  <w:style w:type="character" w:customStyle="1" w:styleId="20">
    <w:name w:val="Заголовок 2 Знак"/>
    <w:link w:val="2"/>
    <w:uiPriority w:val="99"/>
    <w:locked/>
    <w:rsid w:val="00907D54"/>
    <w:rPr>
      <w:rFonts w:ascii="Cambria" w:hAnsi="Cambria"/>
      <w:b/>
      <w:i/>
      <w:sz w:val="28"/>
      <w:lang w:val="ru-RU"/>
    </w:rPr>
  </w:style>
  <w:style w:type="paragraph" w:styleId="HTML">
    <w:name w:val="HTML Preformatted"/>
    <w:basedOn w:val="a"/>
    <w:link w:val="HTML0"/>
    <w:uiPriority w:val="99"/>
    <w:rsid w:val="009B69A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en-US" w:eastAsia="ru-RU"/>
    </w:rPr>
  </w:style>
  <w:style w:type="character" w:customStyle="1" w:styleId="HTML0">
    <w:name w:val="Стандартный HTML Знак"/>
    <w:link w:val="HTML"/>
    <w:uiPriority w:val="99"/>
    <w:locked/>
    <w:rsid w:val="009B69A5"/>
    <w:rPr>
      <w:rFonts w:ascii="Courier New" w:hAnsi="Courier New"/>
    </w:rPr>
  </w:style>
  <w:style w:type="paragraph" w:styleId="a3">
    <w:name w:val="footnote text"/>
    <w:basedOn w:val="a"/>
    <w:link w:val="a4"/>
    <w:uiPriority w:val="99"/>
    <w:rsid w:val="00984A1E"/>
    <w:pPr>
      <w:widowControl w:val="0"/>
      <w:spacing w:after="0" w:line="240" w:lineRule="auto"/>
    </w:pPr>
    <w:rPr>
      <w:rFonts w:ascii="Arial" w:hAnsi="Arial"/>
      <w:sz w:val="20"/>
      <w:szCs w:val="20"/>
      <w:lang w:val="uk-UA" w:eastAsia="ru-RU"/>
    </w:rPr>
  </w:style>
  <w:style w:type="character" w:customStyle="1" w:styleId="a4">
    <w:name w:val="Текст сноски Знак"/>
    <w:link w:val="a3"/>
    <w:uiPriority w:val="99"/>
    <w:locked/>
    <w:rsid w:val="00984A1E"/>
    <w:rPr>
      <w:rFonts w:ascii="Arial" w:hAnsi="Arial"/>
      <w:lang w:val="uk-UA"/>
    </w:rPr>
  </w:style>
  <w:style w:type="character" w:styleId="a5">
    <w:name w:val="footnote reference"/>
    <w:uiPriority w:val="99"/>
    <w:rsid w:val="00984A1E"/>
    <w:rPr>
      <w:rFonts w:cs="Times New Roman"/>
      <w:vertAlign w:val="superscript"/>
    </w:rPr>
  </w:style>
  <w:style w:type="character" w:customStyle="1" w:styleId="21">
    <w:name w:val="Основной текст (2)_"/>
    <w:link w:val="22"/>
    <w:uiPriority w:val="99"/>
    <w:locked/>
    <w:rsid w:val="00F77385"/>
    <w:rPr>
      <w:rFonts w:ascii="Times New Roman" w:hAnsi="Times New Roman"/>
      <w:sz w:val="28"/>
      <w:shd w:val="clear" w:color="auto" w:fill="FFFFFF"/>
    </w:rPr>
  </w:style>
  <w:style w:type="paragraph" w:customStyle="1" w:styleId="22">
    <w:name w:val="Основной текст (2)"/>
    <w:basedOn w:val="a"/>
    <w:link w:val="21"/>
    <w:uiPriority w:val="99"/>
    <w:rsid w:val="00F77385"/>
    <w:pPr>
      <w:widowControl w:val="0"/>
      <w:shd w:val="clear" w:color="auto" w:fill="FFFFFF"/>
      <w:spacing w:after="0" w:line="322" w:lineRule="exact"/>
      <w:ind w:hanging="360"/>
      <w:jc w:val="both"/>
    </w:pPr>
    <w:rPr>
      <w:rFonts w:ascii="Times New Roman" w:hAnsi="Times New Roman"/>
      <w:sz w:val="28"/>
      <w:szCs w:val="20"/>
      <w:lang w:val="en-US" w:eastAsia="ru-RU"/>
    </w:rPr>
  </w:style>
  <w:style w:type="paragraph" w:styleId="a6">
    <w:name w:val="Balloon Text"/>
    <w:basedOn w:val="a"/>
    <w:link w:val="a7"/>
    <w:uiPriority w:val="99"/>
    <w:semiHidden/>
    <w:rsid w:val="00747A55"/>
    <w:pPr>
      <w:spacing w:after="0" w:line="240" w:lineRule="auto"/>
    </w:pPr>
    <w:rPr>
      <w:rFonts w:ascii="Tahoma" w:hAnsi="Tahoma"/>
      <w:sz w:val="16"/>
      <w:szCs w:val="20"/>
      <w:lang w:val="en-US"/>
    </w:rPr>
  </w:style>
  <w:style w:type="character" w:customStyle="1" w:styleId="a7">
    <w:name w:val="Текст выноски Знак"/>
    <w:link w:val="a6"/>
    <w:uiPriority w:val="99"/>
    <w:semiHidden/>
    <w:locked/>
    <w:rsid w:val="00747A55"/>
    <w:rPr>
      <w:rFonts w:ascii="Tahoma" w:hAnsi="Tahoma"/>
      <w:sz w:val="16"/>
      <w:lang w:eastAsia="en-US"/>
    </w:rPr>
  </w:style>
  <w:style w:type="character" w:customStyle="1" w:styleId="longtext">
    <w:name w:val="long_text"/>
    <w:uiPriority w:val="99"/>
    <w:rsid w:val="004D040A"/>
  </w:style>
  <w:style w:type="paragraph" w:styleId="a8">
    <w:name w:val="List Paragraph"/>
    <w:basedOn w:val="a"/>
    <w:uiPriority w:val="99"/>
    <w:qFormat/>
    <w:rsid w:val="00F169F2"/>
    <w:pPr>
      <w:ind w:left="720"/>
      <w:contextualSpacing/>
    </w:pPr>
  </w:style>
  <w:style w:type="character" w:customStyle="1" w:styleId="hps">
    <w:name w:val="hps"/>
    <w:uiPriority w:val="99"/>
    <w:rsid w:val="00DC730B"/>
  </w:style>
  <w:style w:type="character" w:customStyle="1" w:styleId="a9">
    <w:name w:val="Основной текст_"/>
    <w:link w:val="11"/>
    <w:uiPriority w:val="99"/>
    <w:locked/>
    <w:rsid w:val="00A630A2"/>
    <w:rPr>
      <w:rFonts w:ascii="Times New Roman" w:hAnsi="Times New Roman"/>
      <w:sz w:val="26"/>
      <w:shd w:val="clear" w:color="auto" w:fill="FFFFFF"/>
    </w:rPr>
  </w:style>
  <w:style w:type="character" w:customStyle="1" w:styleId="12">
    <w:name w:val="Заголовок №1_"/>
    <w:uiPriority w:val="99"/>
    <w:rsid w:val="00A630A2"/>
    <w:rPr>
      <w:rFonts w:ascii="Times New Roman" w:hAnsi="Times New Roman"/>
      <w:b/>
      <w:sz w:val="26"/>
      <w:u w:val="none"/>
    </w:rPr>
  </w:style>
  <w:style w:type="character" w:customStyle="1" w:styleId="13">
    <w:name w:val="Заголовок №1"/>
    <w:uiPriority w:val="99"/>
    <w:rsid w:val="00A630A2"/>
    <w:rPr>
      <w:rFonts w:ascii="Times New Roman" w:hAnsi="Times New Roman"/>
      <w:b/>
      <w:color w:val="000000"/>
      <w:spacing w:val="0"/>
      <w:w w:val="100"/>
      <w:position w:val="0"/>
      <w:sz w:val="26"/>
      <w:u w:val="single"/>
      <w:lang w:val="uk-UA" w:eastAsia="uk-UA"/>
    </w:rPr>
  </w:style>
  <w:style w:type="character" w:customStyle="1" w:styleId="3">
    <w:name w:val="Основной текст (3)_"/>
    <w:link w:val="30"/>
    <w:uiPriority w:val="99"/>
    <w:locked/>
    <w:rsid w:val="00A630A2"/>
    <w:rPr>
      <w:rFonts w:ascii="Times New Roman" w:hAnsi="Times New Roman"/>
      <w:sz w:val="26"/>
      <w:shd w:val="clear" w:color="auto" w:fill="FFFFFF"/>
    </w:rPr>
  </w:style>
  <w:style w:type="paragraph" w:customStyle="1" w:styleId="11">
    <w:name w:val="Основной текст1"/>
    <w:basedOn w:val="a"/>
    <w:link w:val="a9"/>
    <w:uiPriority w:val="99"/>
    <w:rsid w:val="00A630A2"/>
    <w:pPr>
      <w:widowControl w:val="0"/>
      <w:shd w:val="clear" w:color="auto" w:fill="FFFFFF"/>
      <w:spacing w:after="0" w:line="298" w:lineRule="exact"/>
      <w:ind w:firstLine="660"/>
      <w:jc w:val="both"/>
    </w:pPr>
    <w:rPr>
      <w:rFonts w:ascii="Times New Roman" w:hAnsi="Times New Roman"/>
      <w:sz w:val="26"/>
      <w:szCs w:val="20"/>
      <w:lang w:val="en-US" w:eastAsia="ru-RU"/>
    </w:rPr>
  </w:style>
  <w:style w:type="paragraph" w:customStyle="1" w:styleId="30">
    <w:name w:val="Основной текст (3)"/>
    <w:basedOn w:val="a"/>
    <w:link w:val="3"/>
    <w:uiPriority w:val="99"/>
    <w:rsid w:val="00A630A2"/>
    <w:pPr>
      <w:widowControl w:val="0"/>
      <w:shd w:val="clear" w:color="auto" w:fill="FFFFFF"/>
      <w:spacing w:after="0" w:line="302" w:lineRule="exact"/>
      <w:ind w:firstLine="660"/>
      <w:jc w:val="both"/>
    </w:pPr>
    <w:rPr>
      <w:rFonts w:ascii="Times New Roman" w:hAnsi="Times New Roman"/>
      <w:sz w:val="26"/>
      <w:szCs w:val="20"/>
      <w:lang w:val="en-US" w:eastAsia="ru-RU"/>
    </w:rPr>
  </w:style>
  <w:style w:type="paragraph" w:customStyle="1" w:styleId="14pt">
    <w:name w:val="Обычный + 14 pt"/>
    <w:aliases w:val="полужирный,по ширине,Первая строка:  1,25 см"/>
    <w:basedOn w:val="a"/>
    <w:uiPriority w:val="99"/>
    <w:rsid w:val="00864F92"/>
    <w:pPr>
      <w:spacing w:after="0" w:line="240" w:lineRule="auto"/>
      <w:ind w:firstLine="709"/>
      <w:jc w:val="both"/>
    </w:pPr>
    <w:rPr>
      <w:rFonts w:ascii="Times New Roman" w:eastAsia="Times New Roman" w:hAnsi="Times New Roman"/>
      <w:b/>
      <w:sz w:val="28"/>
      <w:szCs w:val="28"/>
      <w:lang w:eastAsia="ru-RU"/>
    </w:rPr>
  </w:style>
  <w:style w:type="character" w:customStyle="1" w:styleId="rvts23">
    <w:name w:val="rvts23"/>
    <w:uiPriority w:val="99"/>
    <w:rsid w:val="00C050ED"/>
  </w:style>
  <w:style w:type="character" w:customStyle="1" w:styleId="rvts9">
    <w:name w:val="rvts9"/>
    <w:uiPriority w:val="99"/>
    <w:rsid w:val="00C050ED"/>
  </w:style>
  <w:style w:type="paragraph" w:customStyle="1" w:styleId="31">
    <w:name w:val="Основной текст 31"/>
    <w:basedOn w:val="a"/>
    <w:uiPriority w:val="99"/>
    <w:rsid w:val="00C050ED"/>
    <w:pPr>
      <w:suppressAutoHyphens/>
      <w:spacing w:after="0" w:line="240" w:lineRule="auto"/>
      <w:jc w:val="both"/>
    </w:pPr>
    <w:rPr>
      <w:rFonts w:ascii="Times New Roman" w:eastAsia="Times New Roman" w:hAnsi="Times New Roman"/>
      <w:sz w:val="28"/>
      <w:szCs w:val="24"/>
      <w:lang w:val="uk-UA" w:eastAsia="ar-SA"/>
    </w:rPr>
  </w:style>
  <w:style w:type="character" w:customStyle="1" w:styleId="211pt">
    <w:name w:val="Основной текст (2) + 11 pt"/>
    <w:aliases w:val="Полужирный"/>
    <w:uiPriority w:val="99"/>
    <w:rsid w:val="00220771"/>
    <w:rPr>
      <w:rFonts w:ascii="Times New Roman" w:hAnsi="Times New Roman"/>
      <w:b/>
      <w:color w:val="000000"/>
      <w:spacing w:val="0"/>
      <w:w w:val="100"/>
      <w:position w:val="0"/>
      <w:sz w:val="22"/>
      <w:u w:val="none"/>
      <w:shd w:val="clear" w:color="auto" w:fill="FFFFFF"/>
      <w:lang w:val="uk-UA" w:eastAsia="uk-UA"/>
    </w:rPr>
  </w:style>
  <w:style w:type="character" w:customStyle="1" w:styleId="212pt">
    <w:name w:val="Основной текст (2) + 12 pt"/>
    <w:uiPriority w:val="99"/>
    <w:rsid w:val="00220771"/>
    <w:rPr>
      <w:rFonts w:ascii="Times New Roman" w:hAnsi="Times New Roman"/>
      <w:color w:val="000000"/>
      <w:spacing w:val="0"/>
      <w:w w:val="100"/>
      <w:position w:val="0"/>
      <w:sz w:val="24"/>
      <w:u w:val="none"/>
      <w:shd w:val="clear" w:color="auto" w:fill="FFFFFF"/>
      <w:lang w:val="uk-UA" w:eastAsia="uk-UA"/>
    </w:rPr>
  </w:style>
  <w:style w:type="character" w:customStyle="1" w:styleId="2David">
    <w:name w:val="Основной текст (2) + David"/>
    <w:aliases w:val="13 pt,Курсив"/>
    <w:uiPriority w:val="99"/>
    <w:rsid w:val="00220771"/>
    <w:rPr>
      <w:rFonts w:ascii="David" w:hAnsi="David"/>
      <w:i/>
      <w:color w:val="000000"/>
      <w:spacing w:val="0"/>
      <w:w w:val="100"/>
      <w:position w:val="0"/>
      <w:sz w:val="26"/>
      <w:u w:val="none"/>
      <w:shd w:val="clear" w:color="auto" w:fill="FFFFFF"/>
      <w:lang w:val="uk-UA" w:eastAsia="uk-UA" w:bidi="he-IL"/>
    </w:rPr>
  </w:style>
  <w:style w:type="paragraph" w:styleId="aa">
    <w:name w:val="header"/>
    <w:basedOn w:val="a"/>
    <w:link w:val="ab"/>
    <w:uiPriority w:val="99"/>
    <w:rsid w:val="00216499"/>
    <w:pPr>
      <w:widowControl w:val="0"/>
      <w:tabs>
        <w:tab w:val="center" w:pos="4677"/>
        <w:tab w:val="right" w:pos="9355"/>
      </w:tabs>
      <w:spacing w:after="0" w:line="240" w:lineRule="auto"/>
    </w:pPr>
    <w:rPr>
      <w:rFonts w:ascii="Arial" w:hAnsi="Arial"/>
      <w:sz w:val="20"/>
      <w:szCs w:val="20"/>
      <w:lang w:val="uk-UA" w:eastAsia="ru-RU"/>
    </w:rPr>
  </w:style>
  <w:style w:type="character" w:customStyle="1" w:styleId="ab">
    <w:name w:val="Верхний колонтитул Знак"/>
    <w:link w:val="aa"/>
    <w:uiPriority w:val="99"/>
    <w:locked/>
    <w:rsid w:val="00216499"/>
    <w:rPr>
      <w:rFonts w:ascii="Arial" w:hAnsi="Arial"/>
      <w:lang w:val="uk-UA"/>
    </w:rPr>
  </w:style>
  <w:style w:type="paragraph" w:styleId="ac">
    <w:name w:val="footer"/>
    <w:basedOn w:val="a"/>
    <w:link w:val="ad"/>
    <w:uiPriority w:val="99"/>
    <w:rsid w:val="00DF6DA7"/>
    <w:pPr>
      <w:tabs>
        <w:tab w:val="center" w:pos="4677"/>
        <w:tab w:val="right" w:pos="9355"/>
      </w:tabs>
      <w:spacing w:after="0" w:line="240" w:lineRule="auto"/>
    </w:pPr>
    <w:rPr>
      <w:szCs w:val="20"/>
      <w:lang w:val="en-US"/>
    </w:rPr>
  </w:style>
  <w:style w:type="character" w:customStyle="1" w:styleId="ad">
    <w:name w:val="Нижний колонтитул Знак"/>
    <w:link w:val="ac"/>
    <w:uiPriority w:val="99"/>
    <w:locked/>
    <w:rsid w:val="00DF6DA7"/>
    <w:rPr>
      <w:sz w:val="22"/>
      <w:lang w:eastAsia="en-US"/>
    </w:rPr>
  </w:style>
  <w:style w:type="paragraph" w:styleId="14">
    <w:name w:val="toc 1"/>
    <w:basedOn w:val="a"/>
    <w:next w:val="a"/>
    <w:autoRedefine/>
    <w:uiPriority w:val="99"/>
    <w:semiHidden/>
    <w:rsid w:val="00771D48"/>
    <w:pPr>
      <w:widowControl w:val="0"/>
      <w:tabs>
        <w:tab w:val="right" w:leader="dot" w:pos="9627"/>
      </w:tabs>
      <w:spacing w:after="0" w:line="240" w:lineRule="auto"/>
      <w:jc w:val="both"/>
    </w:pPr>
    <w:rPr>
      <w:rFonts w:ascii="Times New Roman" w:eastAsia="Times New Roman" w:hAnsi="Times New Roman" w:cs="Arial"/>
      <w:b/>
      <w:bCs/>
      <w:caps/>
      <w:noProof/>
      <w:sz w:val="28"/>
      <w:szCs w:val="28"/>
      <w:lang w:val="en-US" w:eastAsia="ru-RU"/>
    </w:rPr>
  </w:style>
  <w:style w:type="paragraph" w:styleId="ae">
    <w:name w:val="Document Map"/>
    <w:basedOn w:val="a"/>
    <w:link w:val="af"/>
    <w:uiPriority w:val="99"/>
    <w:semiHidden/>
    <w:rsid w:val="00485B04"/>
    <w:rPr>
      <w:rFonts w:ascii="Tahoma" w:hAnsi="Tahoma"/>
      <w:sz w:val="16"/>
      <w:szCs w:val="20"/>
      <w:lang w:eastAsia="ru-RU"/>
    </w:rPr>
  </w:style>
  <w:style w:type="character" w:customStyle="1" w:styleId="af">
    <w:name w:val="Схема документа Знак"/>
    <w:link w:val="ae"/>
    <w:uiPriority w:val="99"/>
    <w:semiHidden/>
    <w:locked/>
    <w:rsid w:val="00485B04"/>
    <w:rPr>
      <w:rFonts w:ascii="Tahoma" w:hAnsi="Tahoma"/>
      <w:sz w:val="16"/>
      <w:lang w:val="ru-RU"/>
    </w:rPr>
  </w:style>
  <w:style w:type="character" w:styleId="af0">
    <w:name w:val="Strong"/>
    <w:uiPriority w:val="99"/>
    <w:qFormat/>
    <w:locked/>
    <w:rsid w:val="00907D54"/>
    <w:rPr>
      <w:rFonts w:cs="Times New Roman"/>
      <w:b/>
    </w:rPr>
  </w:style>
  <w:style w:type="paragraph" w:styleId="af1">
    <w:name w:val="Normal (Web)"/>
    <w:basedOn w:val="a"/>
    <w:uiPriority w:val="99"/>
    <w:rsid w:val="005D4BBD"/>
    <w:pPr>
      <w:spacing w:before="100" w:beforeAutospacing="1" w:after="100" w:afterAutospacing="1" w:line="240" w:lineRule="auto"/>
    </w:pPr>
    <w:rPr>
      <w:rFonts w:ascii="Times New Roman" w:eastAsia="Times New Roman" w:hAnsi="Times New Roman"/>
      <w:sz w:val="24"/>
      <w:szCs w:val="24"/>
      <w:lang w:eastAsia="ru-RU"/>
    </w:rPr>
  </w:style>
  <w:style w:type="paragraph" w:styleId="af2">
    <w:name w:val="Body Text Indent"/>
    <w:basedOn w:val="a"/>
    <w:link w:val="af3"/>
    <w:uiPriority w:val="99"/>
    <w:rsid w:val="0050442E"/>
    <w:pPr>
      <w:spacing w:after="120" w:line="240" w:lineRule="auto"/>
      <w:ind w:left="283" w:firstLine="284"/>
    </w:pPr>
    <w:rPr>
      <w:rFonts w:ascii="Times New Roman" w:eastAsia="Times New Roman" w:hAnsi="Times New Roman"/>
      <w:sz w:val="28"/>
      <w:szCs w:val="20"/>
      <w:lang w:eastAsia="ru-RU"/>
    </w:rPr>
  </w:style>
  <w:style w:type="character" w:customStyle="1" w:styleId="af3">
    <w:name w:val="Основной текст с отступом Знак"/>
    <w:link w:val="af2"/>
    <w:uiPriority w:val="99"/>
    <w:locked/>
    <w:rsid w:val="0050442E"/>
    <w:rPr>
      <w:rFonts w:ascii="Times New Roman" w:hAnsi="Times New Roman" w:cs="Times New Roman"/>
      <w:sz w:val="28"/>
    </w:rPr>
  </w:style>
  <w:style w:type="paragraph" w:customStyle="1" w:styleId="Standard">
    <w:name w:val="Standard"/>
    <w:uiPriority w:val="99"/>
    <w:rsid w:val="00D83460"/>
    <w:pPr>
      <w:suppressAutoHyphens/>
      <w:autoSpaceDN w:val="0"/>
    </w:pPr>
    <w:rPr>
      <w:rFonts w:ascii="Arial" w:eastAsia="SimSun" w:hAnsi="Arial" w:cs="Mangal"/>
      <w:kern w:val="3"/>
      <w:sz w:val="24"/>
      <w:szCs w:val="24"/>
      <w:lang w:eastAsia="zh-CN" w:bidi="hi-IN"/>
    </w:rPr>
  </w:style>
  <w:style w:type="table" w:styleId="af4">
    <w:name w:val="Table Grid"/>
    <w:basedOn w:val="a1"/>
    <w:uiPriority w:val="99"/>
    <w:locked/>
    <w:rsid w:val="00E84EC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5">
    <w:name w:val="Абзац списка1"/>
    <w:basedOn w:val="a"/>
    <w:uiPriority w:val="99"/>
    <w:rsid w:val="00D06399"/>
    <w:pPr>
      <w:spacing w:after="160" w:line="259" w:lineRule="auto"/>
      <w:ind w:left="720"/>
      <w:contextualSpacing/>
    </w:pPr>
    <w:rPr>
      <w:rFonts w:eastAsia="Times New Roman"/>
    </w:rPr>
  </w:style>
  <w:style w:type="character" w:customStyle="1" w:styleId="8">
    <w:name w:val="Основной текст + 8"/>
    <w:aliases w:val="5 pt"/>
    <w:uiPriority w:val="99"/>
    <w:rsid w:val="002F1ED6"/>
    <w:rPr>
      <w:rFonts w:ascii="Times New Roman" w:hAnsi="Times New Roman" w:cs="Times New Roman"/>
      <w:color w:val="000000"/>
      <w:spacing w:val="0"/>
      <w:w w:val="100"/>
      <w:position w:val="0"/>
      <w:sz w:val="17"/>
      <w:szCs w:val="17"/>
      <w:u w:val="none"/>
      <w:shd w:val="clear" w:color="auto" w:fill="FFFFFF"/>
      <w:lang w:val="uk-UA" w:eastAsia="uk-UA"/>
    </w:rPr>
  </w:style>
  <w:style w:type="paragraph" w:customStyle="1" w:styleId="23">
    <w:name w:val="Основной текст2"/>
    <w:basedOn w:val="a"/>
    <w:uiPriority w:val="99"/>
    <w:rsid w:val="002F1ED6"/>
    <w:pPr>
      <w:widowControl w:val="0"/>
      <w:shd w:val="clear" w:color="auto" w:fill="FFFFFF"/>
      <w:spacing w:after="0" w:line="302" w:lineRule="exact"/>
      <w:ind w:hanging="720"/>
      <w:jc w:val="both"/>
    </w:pPr>
    <w:rPr>
      <w:rFonts w:ascii="Times New Roman" w:eastAsia="Times New Roman" w:hAnsi="Times New Roman"/>
      <w:color w:val="000000"/>
      <w:sz w:val="26"/>
      <w:szCs w:val="26"/>
      <w:lang w:val="uk-UA" w:eastAsia="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0768414">
      <w:marLeft w:val="0"/>
      <w:marRight w:val="0"/>
      <w:marTop w:val="0"/>
      <w:marBottom w:val="0"/>
      <w:divBdr>
        <w:top w:val="none" w:sz="0" w:space="0" w:color="auto"/>
        <w:left w:val="none" w:sz="0" w:space="0" w:color="auto"/>
        <w:bottom w:val="none" w:sz="0" w:space="0" w:color="auto"/>
        <w:right w:val="none" w:sz="0" w:space="0" w:color="auto"/>
      </w:divBdr>
    </w:div>
    <w:div w:id="350768415">
      <w:marLeft w:val="0"/>
      <w:marRight w:val="0"/>
      <w:marTop w:val="0"/>
      <w:marBottom w:val="0"/>
      <w:divBdr>
        <w:top w:val="none" w:sz="0" w:space="0" w:color="auto"/>
        <w:left w:val="none" w:sz="0" w:space="0" w:color="auto"/>
        <w:bottom w:val="none" w:sz="0" w:space="0" w:color="auto"/>
        <w:right w:val="none" w:sz="0" w:space="0" w:color="auto"/>
      </w:divBdr>
    </w:div>
    <w:div w:id="350768416">
      <w:marLeft w:val="0"/>
      <w:marRight w:val="0"/>
      <w:marTop w:val="0"/>
      <w:marBottom w:val="0"/>
      <w:divBdr>
        <w:top w:val="none" w:sz="0" w:space="0" w:color="auto"/>
        <w:left w:val="none" w:sz="0" w:space="0" w:color="auto"/>
        <w:bottom w:val="none" w:sz="0" w:space="0" w:color="auto"/>
        <w:right w:val="none" w:sz="0" w:space="0" w:color="auto"/>
      </w:divBdr>
    </w:div>
    <w:div w:id="350768417">
      <w:marLeft w:val="0"/>
      <w:marRight w:val="0"/>
      <w:marTop w:val="0"/>
      <w:marBottom w:val="0"/>
      <w:divBdr>
        <w:top w:val="none" w:sz="0" w:space="0" w:color="auto"/>
        <w:left w:val="none" w:sz="0" w:space="0" w:color="auto"/>
        <w:bottom w:val="none" w:sz="0" w:space="0" w:color="auto"/>
        <w:right w:val="none" w:sz="0" w:space="0" w:color="auto"/>
      </w:divBdr>
    </w:div>
    <w:div w:id="350768418">
      <w:marLeft w:val="0"/>
      <w:marRight w:val="0"/>
      <w:marTop w:val="0"/>
      <w:marBottom w:val="0"/>
      <w:divBdr>
        <w:top w:val="none" w:sz="0" w:space="0" w:color="auto"/>
        <w:left w:val="none" w:sz="0" w:space="0" w:color="auto"/>
        <w:bottom w:val="none" w:sz="0" w:space="0" w:color="auto"/>
        <w:right w:val="none" w:sz="0" w:space="0" w:color="auto"/>
      </w:divBdr>
    </w:div>
    <w:div w:id="350768419">
      <w:marLeft w:val="0"/>
      <w:marRight w:val="0"/>
      <w:marTop w:val="0"/>
      <w:marBottom w:val="0"/>
      <w:divBdr>
        <w:top w:val="none" w:sz="0" w:space="0" w:color="auto"/>
        <w:left w:val="none" w:sz="0" w:space="0" w:color="auto"/>
        <w:bottom w:val="none" w:sz="0" w:space="0" w:color="auto"/>
        <w:right w:val="none" w:sz="0" w:space="0" w:color="auto"/>
      </w:divBdr>
    </w:div>
    <w:div w:id="350768420">
      <w:marLeft w:val="0"/>
      <w:marRight w:val="0"/>
      <w:marTop w:val="0"/>
      <w:marBottom w:val="0"/>
      <w:divBdr>
        <w:top w:val="none" w:sz="0" w:space="0" w:color="auto"/>
        <w:left w:val="none" w:sz="0" w:space="0" w:color="auto"/>
        <w:bottom w:val="none" w:sz="0" w:space="0" w:color="auto"/>
        <w:right w:val="none" w:sz="0" w:space="0" w:color="auto"/>
      </w:divBdr>
    </w:div>
    <w:div w:id="350768421">
      <w:marLeft w:val="0"/>
      <w:marRight w:val="0"/>
      <w:marTop w:val="0"/>
      <w:marBottom w:val="0"/>
      <w:divBdr>
        <w:top w:val="none" w:sz="0" w:space="0" w:color="auto"/>
        <w:left w:val="none" w:sz="0" w:space="0" w:color="auto"/>
        <w:bottom w:val="none" w:sz="0" w:space="0" w:color="auto"/>
        <w:right w:val="none" w:sz="0" w:space="0" w:color="auto"/>
      </w:divBdr>
    </w:div>
    <w:div w:id="350768422">
      <w:marLeft w:val="0"/>
      <w:marRight w:val="0"/>
      <w:marTop w:val="0"/>
      <w:marBottom w:val="0"/>
      <w:divBdr>
        <w:top w:val="none" w:sz="0" w:space="0" w:color="auto"/>
        <w:left w:val="none" w:sz="0" w:space="0" w:color="auto"/>
        <w:bottom w:val="none" w:sz="0" w:space="0" w:color="auto"/>
        <w:right w:val="none" w:sz="0" w:space="0" w:color="auto"/>
      </w:divBdr>
    </w:div>
    <w:div w:id="350768423">
      <w:marLeft w:val="0"/>
      <w:marRight w:val="0"/>
      <w:marTop w:val="0"/>
      <w:marBottom w:val="0"/>
      <w:divBdr>
        <w:top w:val="none" w:sz="0" w:space="0" w:color="auto"/>
        <w:left w:val="none" w:sz="0" w:space="0" w:color="auto"/>
        <w:bottom w:val="none" w:sz="0" w:space="0" w:color="auto"/>
        <w:right w:val="none" w:sz="0" w:space="0" w:color="auto"/>
      </w:divBdr>
    </w:div>
    <w:div w:id="350768424">
      <w:marLeft w:val="0"/>
      <w:marRight w:val="0"/>
      <w:marTop w:val="0"/>
      <w:marBottom w:val="0"/>
      <w:divBdr>
        <w:top w:val="none" w:sz="0" w:space="0" w:color="auto"/>
        <w:left w:val="none" w:sz="0" w:space="0" w:color="auto"/>
        <w:bottom w:val="none" w:sz="0" w:space="0" w:color="auto"/>
        <w:right w:val="none" w:sz="0" w:space="0" w:color="auto"/>
      </w:divBdr>
    </w:div>
    <w:div w:id="350768425">
      <w:marLeft w:val="0"/>
      <w:marRight w:val="0"/>
      <w:marTop w:val="0"/>
      <w:marBottom w:val="0"/>
      <w:divBdr>
        <w:top w:val="none" w:sz="0" w:space="0" w:color="auto"/>
        <w:left w:val="none" w:sz="0" w:space="0" w:color="auto"/>
        <w:bottom w:val="none" w:sz="0" w:space="0" w:color="auto"/>
        <w:right w:val="none" w:sz="0" w:space="0" w:color="auto"/>
      </w:divBdr>
    </w:div>
    <w:div w:id="350768426">
      <w:marLeft w:val="0"/>
      <w:marRight w:val="0"/>
      <w:marTop w:val="0"/>
      <w:marBottom w:val="0"/>
      <w:divBdr>
        <w:top w:val="none" w:sz="0" w:space="0" w:color="auto"/>
        <w:left w:val="none" w:sz="0" w:space="0" w:color="auto"/>
        <w:bottom w:val="none" w:sz="0" w:space="0" w:color="auto"/>
        <w:right w:val="none" w:sz="0" w:space="0" w:color="auto"/>
      </w:divBdr>
    </w:div>
    <w:div w:id="350768427">
      <w:marLeft w:val="0"/>
      <w:marRight w:val="0"/>
      <w:marTop w:val="0"/>
      <w:marBottom w:val="0"/>
      <w:divBdr>
        <w:top w:val="none" w:sz="0" w:space="0" w:color="auto"/>
        <w:left w:val="none" w:sz="0" w:space="0" w:color="auto"/>
        <w:bottom w:val="none" w:sz="0" w:space="0" w:color="auto"/>
        <w:right w:val="none" w:sz="0" w:space="0" w:color="auto"/>
      </w:divBdr>
    </w:div>
    <w:div w:id="35076842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1931</TotalTime>
  <Pages>56</Pages>
  <Words>19463</Words>
  <Characters>110940</Characters>
  <Application>Microsoft Office Word</Application>
  <DocSecurity>0</DocSecurity>
  <Lines>924</Lines>
  <Paragraphs>260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130143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Компик</dc:creator>
  <cp:keywords/>
  <dc:description/>
  <cp:lastModifiedBy>Компик</cp:lastModifiedBy>
  <cp:revision>86</cp:revision>
  <cp:lastPrinted>2019-03-26T09:14:00Z</cp:lastPrinted>
  <dcterms:created xsi:type="dcterms:W3CDTF">2019-02-20T07:23:00Z</dcterms:created>
  <dcterms:modified xsi:type="dcterms:W3CDTF">2019-04-23T11:24:00Z</dcterms:modified>
</cp:coreProperties>
</file>