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E8" w:rsidRDefault="00775444" w:rsidP="00B10CE8">
      <w:pPr>
        <w:pStyle w:val="a6"/>
        <w:tabs>
          <w:tab w:val="left" w:pos="6950"/>
          <w:tab w:val="left" w:pos="7455"/>
        </w:tabs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B7826D" wp14:editId="3313871C">
            <wp:simplePos x="5705475" y="723900"/>
            <wp:positionH relativeFrom="column">
              <wp:align>center</wp:align>
            </wp:positionH>
            <wp:positionV relativeFrom="paragraph">
              <wp:posOffset>0</wp:posOffset>
            </wp:positionV>
            <wp:extent cx="434975" cy="61531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326" w:rsidRPr="00801A80" w:rsidRDefault="008D5326" w:rsidP="00B10CE8">
      <w:pPr>
        <w:pStyle w:val="a6"/>
        <w:tabs>
          <w:tab w:val="left" w:pos="6950"/>
          <w:tab w:val="left" w:pos="7455"/>
        </w:tabs>
        <w:spacing w:after="0"/>
        <w:jc w:val="center"/>
        <w:rPr>
          <w:b/>
          <w:sz w:val="28"/>
          <w:szCs w:val="28"/>
          <w:lang w:val="uk-UA"/>
        </w:rPr>
      </w:pPr>
      <w:r w:rsidRPr="00801A80">
        <w:rPr>
          <w:b/>
          <w:sz w:val="28"/>
          <w:szCs w:val="28"/>
          <w:lang w:val="uk-UA"/>
        </w:rPr>
        <w:t>ЛИСИЧАНСЬКА МІСЬКА РАДА</w:t>
      </w:r>
    </w:p>
    <w:p w:rsidR="008D5326" w:rsidRPr="00801A80" w:rsidRDefault="00D121C0" w:rsidP="00B10CE8">
      <w:pPr>
        <w:jc w:val="center"/>
        <w:rPr>
          <w:b/>
          <w:sz w:val="28"/>
          <w:szCs w:val="28"/>
          <w:lang w:val="uk-UA"/>
        </w:rPr>
      </w:pPr>
      <w:r w:rsidRPr="00801A80">
        <w:rPr>
          <w:b/>
          <w:sz w:val="28"/>
          <w:szCs w:val="28"/>
          <w:lang w:val="uk-UA"/>
        </w:rPr>
        <w:t>СЬОМОГО</w:t>
      </w:r>
      <w:r w:rsidR="008D5326" w:rsidRPr="00801A80">
        <w:rPr>
          <w:b/>
          <w:sz w:val="28"/>
          <w:szCs w:val="28"/>
          <w:lang w:val="uk-UA"/>
        </w:rPr>
        <w:t xml:space="preserve"> СКЛИКАННЯ</w:t>
      </w:r>
    </w:p>
    <w:p w:rsidR="008D5326" w:rsidRPr="00F762D4" w:rsidRDefault="00B10CE8" w:rsidP="00B10CE8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Вісімдесят третя</w:t>
      </w:r>
      <w:r w:rsidR="008D5326" w:rsidRPr="00F762D4">
        <w:rPr>
          <w:b/>
          <w:snapToGrid w:val="0"/>
          <w:sz w:val="28"/>
          <w:szCs w:val="28"/>
          <w:lang w:val="uk-UA"/>
        </w:rPr>
        <w:t xml:space="preserve"> сесія</w:t>
      </w:r>
    </w:p>
    <w:p w:rsidR="008D5326" w:rsidRPr="00801A80" w:rsidRDefault="008D5326" w:rsidP="00B10CE8">
      <w:pPr>
        <w:rPr>
          <w:snapToGrid w:val="0"/>
          <w:sz w:val="28"/>
          <w:szCs w:val="28"/>
          <w:lang w:val="uk-UA"/>
        </w:rPr>
      </w:pPr>
    </w:p>
    <w:p w:rsidR="008D5326" w:rsidRPr="00801A80" w:rsidRDefault="008D5326" w:rsidP="00B10CE8">
      <w:pPr>
        <w:jc w:val="center"/>
        <w:rPr>
          <w:b/>
          <w:snapToGrid w:val="0"/>
          <w:sz w:val="28"/>
          <w:szCs w:val="28"/>
          <w:lang w:val="uk-UA"/>
        </w:rPr>
      </w:pPr>
      <w:r w:rsidRPr="00801A80">
        <w:rPr>
          <w:b/>
          <w:snapToGrid w:val="0"/>
          <w:sz w:val="28"/>
          <w:szCs w:val="28"/>
          <w:lang w:val="uk-UA"/>
        </w:rPr>
        <w:t>РІШЕННЯ</w:t>
      </w:r>
    </w:p>
    <w:p w:rsidR="008D5326" w:rsidRPr="00801A80" w:rsidRDefault="008D5326" w:rsidP="00B10CE8">
      <w:pPr>
        <w:rPr>
          <w:snapToGrid w:val="0"/>
          <w:sz w:val="28"/>
          <w:szCs w:val="28"/>
          <w:lang w:val="uk-UA"/>
        </w:rPr>
      </w:pPr>
    </w:p>
    <w:p w:rsidR="008D5326" w:rsidRPr="00801A80" w:rsidRDefault="00367D58" w:rsidP="00B10CE8">
      <w:pPr>
        <w:tabs>
          <w:tab w:val="left" w:pos="3686"/>
          <w:tab w:val="left" w:pos="7230"/>
        </w:tabs>
        <w:rPr>
          <w:snapToGrid w:val="0"/>
          <w:sz w:val="28"/>
          <w:szCs w:val="28"/>
          <w:lang w:val="uk-UA"/>
        </w:rPr>
      </w:pPr>
      <w:r w:rsidRPr="00367D58">
        <w:rPr>
          <w:snapToGrid w:val="0"/>
          <w:sz w:val="28"/>
          <w:szCs w:val="28"/>
        </w:rPr>
        <w:t>23</w:t>
      </w:r>
      <w:r>
        <w:rPr>
          <w:snapToGrid w:val="0"/>
          <w:sz w:val="28"/>
          <w:szCs w:val="28"/>
          <w:lang w:val="uk-UA"/>
        </w:rPr>
        <w:t>.01.</w:t>
      </w:r>
      <w:r w:rsidR="008D5326" w:rsidRPr="00801A80">
        <w:rPr>
          <w:snapToGrid w:val="0"/>
          <w:sz w:val="28"/>
          <w:szCs w:val="28"/>
          <w:lang w:val="uk-UA"/>
        </w:rPr>
        <w:t>20</w:t>
      </w:r>
      <w:r w:rsidR="00C34509">
        <w:rPr>
          <w:snapToGrid w:val="0"/>
          <w:sz w:val="28"/>
          <w:szCs w:val="28"/>
          <w:lang w:val="uk-UA"/>
        </w:rPr>
        <w:t>20</w:t>
      </w:r>
      <w:r w:rsidR="008D5326" w:rsidRPr="00801A80">
        <w:rPr>
          <w:snapToGrid w:val="0"/>
          <w:sz w:val="28"/>
          <w:szCs w:val="28"/>
          <w:lang w:val="uk-UA"/>
        </w:rPr>
        <w:tab/>
      </w:r>
      <w:r w:rsidR="00B10CE8">
        <w:rPr>
          <w:snapToGrid w:val="0"/>
          <w:sz w:val="28"/>
          <w:szCs w:val="28"/>
          <w:lang w:val="uk-UA"/>
        </w:rPr>
        <w:t xml:space="preserve">   </w:t>
      </w:r>
      <w:r w:rsidR="008D5326" w:rsidRPr="00801A80">
        <w:rPr>
          <w:snapToGrid w:val="0"/>
          <w:sz w:val="28"/>
          <w:szCs w:val="28"/>
          <w:lang w:val="uk-UA"/>
        </w:rPr>
        <w:t>м. Лисичанськ</w:t>
      </w:r>
      <w:r w:rsidR="008D5326" w:rsidRPr="00801A80">
        <w:rPr>
          <w:snapToGrid w:val="0"/>
          <w:sz w:val="28"/>
          <w:szCs w:val="28"/>
          <w:lang w:val="uk-UA"/>
        </w:rPr>
        <w:tab/>
      </w:r>
      <w:r w:rsidR="00B10CE8">
        <w:rPr>
          <w:snapToGrid w:val="0"/>
          <w:sz w:val="28"/>
          <w:szCs w:val="28"/>
          <w:lang w:val="uk-UA"/>
        </w:rPr>
        <w:tab/>
      </w:r>
      <w:r w:rsidR="008D5326" w:rsidRPr="00801A80">
        <w:rPr>
          <w:snapToGrid w:val="0"/>
          <w:sz w:val="28"/>
          <w:szCs w:val="28"/>
          <w:lang w:val="uk-UA"/>
        </w:rPr>
        <w:t>№</w:t>
      </w:r>
      <w:r>
        <w:rPr>
          <w:snapToGrid w:val="0"/>
          <w:sz w:val="28"/>
          <w:szCs w:val="28"/>
          <w:lang w:val="uk-UA"/>
        </w:rPr>
        <w:t xml:space="preserve"> 83/1178</w:t>
      </w:r>
    </w:p>
    <w:p w:rsidR="008D5326" w:rsidRDefault="008D5326" w:rsidP="00B10CE8">
      <w:pPr>
        <w:rPr>
          <w:snapToGrid w:val="0"/>
          <w:sz w:val="28"/>
          <w:szCs w:val="28"/>
          <w:lang w:val="uk-UA"/>
        </w:rPr>
      </w:pPr>
    </w:p>
    <w:p w:rsidR="00367D58" w:rsidRPr="00801A80" w:rsidRDefault="00367D58" w:rsidP="00B10CE8">
      <w:pPr>
        <w:rPr>
          <w:snapToGrid w:val="0"/>
          <w:sz w:val="28"/>
          <w:szCs w:val="28"/>
          <w:lang w:val="uk-UA"/>
        </w:rPr>
      </w:pPr>
    </w:p>
    <w:p w:rsidR="00856B93" w:rsidRDefault="00856B93" w:rsidP="00B10C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здійснення державної</w:t>
      </w:r>
    </w:p>
    <w:p w:rsidR="00856B93" w:rsidRDefault="00856B93" w:rsidP="00B10CE8">
      <w:pPr>
        <w:rPr>
          <w:b/>
          <w:sz w:val="28"/>
          <w:szCs w:val="28"/>
          <w:lang w:val="uk-UA"/>
        </w:rPr>
      </w:pPr>
      <w:r w:rsidRPr="00354BF4">
        <w:rPr>
          <w:b/>
          <w:sz w:val="28"/>
          <w:szCs w:val="28"/>
          <w:lang w:val="uk-UA"/>
        </w:rPr>
        <w:t>ре</w:t>
      </w:r>
      <w:r>
        <w:rPr>
          <w:b/>
          <w:sz w:val="28"/>
          <w:szCs w:val="28"/>
          <w:lang w:val="uk-UA"/>
        </w:rPr>
        <w:t>гуляторної політики</w:t>
      </w:r>
    </w:p>
    <w:p w:rsidR="00856B93" w:rsidRDefault="00856B93" w:rsidP="00B10C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виконавчими </w:t>
      </w:r>
      <w:r w:rsidRPr="00354BF4">
        <w:rPr>
          <w:b/>
          <w:sz w:val="28"/>
          <w:szCs w:val="28"/>
          <w:lang w:val="uk-UA"/>
        </w:rPr>
        <w:t>органами</w:t>
      </w:r>
    </w:p>
    <w:p w:rsidR="00F26EB3" w:rsidRPr="00801A80" w:rsidRDefault="00856B93" w:rsidP="00B10CE8">
      <w:pPr>
        <w:rPr>
          <w:b/>
          <w:sz w:val="28"/>
          <w:szCs w:val="28"/>
          <w:lang w:val="uk-UA"/>
        </w:rPr>
      </w:pPr>
      <w:r w:rsidRPr="00354BF4">
        <w:rPr>
          <w:b/>
          <w:sz w:val="28"/>
          <w:szCs w:val="28"/>
          <w:lang w:val="uk-UA"/>
        </w:rPr>
        <w:t>міської ради у 2019 році</w:t>
      </w:r>
    </w:p>
    <w:p w:rsidR="008D5326" w:rsidRPr="00801A80" w:rsidRDefault="008D5326" w:rsidP="00B10CE8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536A4" w:rsidRPr="00856B93" w:rsidRDefault="00856B93" w:rsidP="00B10CE8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  <w:r w:rsidRPr="00856B93">
        <w:rPr>
          <w:b w:val="0"/>
          <w:szCs w:val="28"/>
          <w:lang w:val="uk-UA"/>
        </w:rPr>
        <w:t>На виконання вимог частини першої статті 38 Закону України «Про засади державної регуляторної політики у сфері господарської діяльності», керуючись п. 9 ч. 1 ст. 26 Закону України «Про місцеве самоврядування в Україні» міська рада</w:t>
      </w:r>
    </w:p>
    <w:p w:rsidR="00735DA9" w:rsidRDefault="00735DA9" w:rsidP="00B10CE8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536A4" w:rsidRPr="00775444" w:rsidRDefault="00775444" w:rsidP="00733A9E">
      <w:pPr>
        <w:pStyle w:val="2"/>
        <w:ind w:left="0"/>
        <w:contextualSpacing/>
        <w:rPr>
          <w:bCs w:val="0"/>
          <w:spacing w:val="40"/>
          <w:szCs w:val="28"/>
          <w:lang w:val="uk-UA"/>
        </w:rPr>
      </w:pPr>
      <w:r w:rsidRPr="00775444">
        <w:rPr>
          <w:bCs w:val="0"/>
          <w:spacing w:val="40"/>
          <w:szCs w:val="28"/>
          <w:lang w:val="uk-UA"/>
        </w:rPr>
        <w:t>вирішила:</w:t>
      </w:r>
    </w:p>
    <w:p w:rsidR="000536A4" w:rsidRDefault="000536A4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856B93" w:rsidRPr="00856B93" w:rsidRDefault="00856B93" w:rsidP="00856B93">
      <w:pPr>
        <w:pStyle w:val="2"/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856B93">
        <w:rPr>
          <w:b w:val="0"/>
          <w:bCs w:val="0"/>
          <w:szCs w:val="28"/>
          <w:lang w:val="uk-UA"/>
        </w:rPr>
        <w:t>Взяти до відома Звіт про здійснення державної регуляторної політики виконавчими органами міської ради у 2019 році (додаток).</w:t>
      </w:r>
    </w:p>
    <w:p w:rsidR="00856B93" w:rsidRPr="00856B93" w:rsidRDefault="00856B93" w:rsidP="00856B93">
      <w:pPr>
        <w:pStyle w:val="2"/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856B93">
        <w:rPr>
          <w:b w:val="0"/>
          <w:bCs w:val="0"/>
          <w:szCs w:val="28"/>
          <w:lang w:val="uk-UA"/>
        </w:rPr>
        <w:t>Керівникам виконавчих органів міської ради – розробникам регуляторних актів при проведенні регуляторної діяльності:</w:t>
      </w:r>
    </w:p>
    <w:p w:rsidR="00856B93" w:rsidRPr="00856B93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856B93">
        <w:rPr>
          <w:b w:val="0"/>
          <w:bCs w:val="0"/>
          <w:szCs w:val="28"/>
          <w:lang w:val="uk-UA"/>
        </w:rPr>
        <w:t>2.1 інформувати відділ економіки про розробку нових проектів регуляторних актів з метою внесення доповнень до плану діяльності виконавчих органів міської ради з підготовки проектів регуляторних актів у 2020 році;</w:t>
      </w:r>
    </w:p>
    <w:p w:rsidR="00856B93" w:rsidRPr="00856B93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856B93">
        <w:rPr>
          <w:b w:val="0"/>
          <w:bCs w:val="0"/>
          <w:szCs w:val="28"/>
          <w:lang w:val="uk-UA"/>
        </w:rPr>
        <w:t>2.2 оприлюднювати звіти про здійснення заходів з відстеження результативності регуляторних актів на офіційному сайті міської ради.</w:t>
      </w:r>
    </w:p>
    <w:p w:rsidR="00856B93" w:rsidRPr="00856B93" w:rsidRDefault="00856B93" w:rsidP="00856B93">
      <w:pPr>
        <w:pStyle w:val="2"/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856B93">
        <w:rPr>
          <w:b w:val="0"/>
          <w:bCs w:val="0"/>
          <w:szCs w:val="28"/>
          <w:lang w:val="uk-UA"/>
        </w:rPr>
        <w:t>Офіційно оприлюднити це рішення в регіональній громадсько-політичній газеті «</w:t>
      </w:r>
      <w:proofErr w:type="spellStart"/>
      <w:r w:rsidRPr="00856B93">
        <w:rPr>
          <w:b w:val="0"/>
          <w:bCs w:val="0"/>
          <w:szCs w:val="28"/>
          <w:lang w:val="uk-UA"/>
        </w:rPr>
        <w:t>Новый</w:t>
      </w:r>
      <w:proofErr w:type="spellEnd"/>
      <w:r w:rsidRPr="00856B93">
        <w:rPr>
          <w:b w:val="0"/>
          <w:bCs w:val="0"/>
          <w:szCs w:val="28"/>
          <w:lang w:val="uk-UA"/>
        </w:rPr>
        <w:t xml:space="preserve"> путь» та на офіційному сайті Лисичанської міської ради.</w:t>
      </w:r>
    </w:p>
    <w:p w:rsidR="00856B93" w:rsidRPr="00856B93" w:rsidRDefault="00856B93" w:rsidP="00856B93">
      <w:pPr>
        <w:pStyle w:val="2"/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801A80">
        <w:rPr>
          <w:b w:val="0"/>
          <w:bCs w:val="0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>
        <w:rPr>
          <w:b w:val="0"/>
          <w:bCs w:val="0"/>
          <w:szCs w:val="28"/>
          <w:lang w:val="uk-UA"/>
        </w:rPr>
        <w:t xml:space="preserve">Андрія </w:t>
      </w:r>
      <w:r w:rsidRPr="00801A80">
        <w:rPr>
          <w:b w:val="0"/>
          <w:bCs w:val="0"/>
          <w:szCs w:val="28"/>
          <w:lang w:val="uk-UA"/>
        </w:rPr>
        <w:t>Ш</w:t>
      </w:r>
      <w:r>
        <w:rPr>
          <w:b w:val="0"/>
          <w:bCs w:val="0"/>
          <w:szCs w:val="28"/>
          <w:lang w:val="uk-UA"/>
        </w:rPr>
        <w:t>АЛЬНЄВА.</w:t>
      </w:r>
    </w:p>
    <w:p w:rsidR="00242DF7" w:rsidRDefault="00242DF7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B10CE8" w:rsidRDefault="00B10CE8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B10CE8" w:rsidRDefault="00B10CE8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B10CE8" w:rsidRDefault="00B10CE8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B10CE8" w:rsidRPr="00B10CE8" w:rsidRDefault="00B10CE8" w:rsidP="00B10CE8">
      <w:pPr>
        <w:pStyle w:val="2"/>
        <w:ind w:left="0"/>
        <w:contextualSpacing/>
        <w:rPr>
          <w:bCs w:val="0"/>
          <w:szCs w:val="28"/>
          <w:lang w:val="uk-UA"/>
        </w:rPr>
      </w:pPr>
      <w:r w:rsidRPr="00B10CE8">
        <w:rPr>
          <w:bCs w:val="0"/>
          <w:szCs w:val="28"/>
          <w:lang w:val="uk-UA"/>
        </w:rPr>
        <w:t xml:space="preserve">Міський голова </w:t>
      </w:r>
      <w:r w:rsidRPr="00B10CE8">
        <w:rPr>
          <w:bCs w:val="0"/>
          <w:szCs w:val="28"/>
          <w:lang w:val="uk-UA"/>
        </w:rPr>
        <w:tab/>
      </w:r>
      <w:r>
        <w:rPr>
          <w:bCs w:val="0"/>
          <w:szCs w:val="28"/>
          <w:lang w:val="uk-UA"/>
        </w:rPr>
        <w:tab/>
      </w:r>
      <w:r>
        <w:rPr>
          <w:bCs w:val="0"/>
          <w:szCs w:val="28"/>
          <w:lang w:val="uk-UA"/>
        </w:rPr>
        <w:tab/>
      </w:r>
      <w:r>
        <w:rPr>
          <w:bCs w:val="0"/>
          <w:szCs w:val="28"/>
          <w:lang w:val="uk-UA"/>
        </w:rPr>
        <w:tab/>
      </w:r>
      <w:r w:rsidRPr="00B10CE8">
        <w:rPr>
          <w:bCs w:val="0"/>
          <w:szCs w:val="28"/>
          <w:lang w:val="uk-UA"/>
        </w:rPr>
        <w:tab/>
      </w:r>
      <w:r w:rsidRPr="00B10CE8">
        <w:rPr>
          <w:bCs w:val="0"/>
          <w:szCs w:val="28"/>
          <w:lang w:val="uk-UA"/>
        </w:rPr>
        <w:tab/>
      </w:r>
      <w:r w:rsidRPr="00B10CE8">
        <w:rPr>
          <w:bCs w:val="0"/>
          <w:szCs w:val="28"/>
          <w:lang w:val="uk-UA"/>
        </w:rPr>
        <w:tab/>
      </w:r>
      <w:r w:rsidRPr="00B10CE8">
        <w:rPr>
          <w:bCs w:val="0"/>
          <w:szCs w:val="28"/>
          <w:lang w:val="uk-UA"/>
        </w:rPr>
        <w:tab/>
        <w:t>Сергій ШИЛІН</w:t>
      </w:r>
    </w:p>
    <w:p w:rsidR="00856B93" w:rsidRPr="00B10CE8" w:rsidRDefault="00856B93" w:rsidP="000536A4">
      <w:pPr>
        <w:pStyle w:val="2"/>
        <w:ind w:left="0" w:firstLine="709"/>
        <w:contextualSpacing/>
        <w:rPr>
          <w:bCs w:val="0"/>
          <w:szCs w:val="28"/>
          <w:lang w:val="uk-UA"/>
        </w:rPr>
      </w:pPr>
    </w:p>
    <w:p w:rsidR="00856B93" w:rsidRDefault="00856B93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242DF7" w:rsidRPr="00801A80" w:rsidRDefault="00242DF7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44EBD" w:rsidRDefault="00044EBD" w:rsidP="00856B93">
      <w:pPr>
        <w:pStyle w:val="2"/>
        <w:tabs>
          <w:tab w:val="left" w:pos="7230"/>
        </w:tabs>
        <w:ind w:left="0"/>
        <w:contextualSpacing/>
        <w:rPr>
          <w:lang w:val="uk-UA"/>
        </w:rPr>
      </w:pPr>
    </w:p>
    <w:p w:rsidR="00B10CE8" w:rsidRPr="00B10CE8" w:rsidRDefault="00856B93" w:rsidP="00B10CE8">
      <w:pPr>
        <w:ind w:left="5760"/>
        <w:jc w:val="both"/>
        <w:rPr>
          <w:sz w:val="28"/>
          <w:szCs w:val="28"/>
          <w:lang w:val="uk-UA"/>
        </w:rPr>
      </w:pPr>
      <w:r w:rsidRPr="00B10CE8">
        <w:rPr>
          <w:sz w:val="28"/>
          <w:szCs w:val="28"/>
          <w:lang w:val="uk-UA"/>
        </w:rPr>
        <w:t xml:space="preserve">Додаток </w:t>
      </w:r>
    </w:p>
    <w:p w:rsidR="00856B93" w:rsidRPr="00B10CE8" w:rsidRDefault="00856B93" w:rsidP="00B10CE8">
      <w:pPr>
        <w:ind w:left="5760"/>
        <w:jc w:val="both"/>
        <w:rPr>
          <w:sz w:val="28"/>
          <w:szCs w:val="28"/>
          <w:lang w:val="uk-UA"/>
        </w:rPr>
      </w:pPr>
      <w:r w:rsidRPr="00B10CE8">
        <w:rPr>
          <w:sz w:val="28"/>
          <w:szCs w:val="28"/>
          <w:lang w:val="uk-UA"/>
        </w:rPr>
        <w:t>до рішення</w:t>
      </w:r>
      <w:r w:rsidR="00B10CE8" w:rsidRPr="00B10CE8">
        <w:rPr>
          <w:sz w:val="28"/>
          <w:szCs w:val="28"/>
          <w:lang w:val="uk-UA"/>
        </w:rPr>
        <w:t xml:space="preserve"> </w:t>
      </w:r>
      <w:r w:rsidRPr="00B10CE8">
        <w:rPr>
          <w:sz w:val="28"/>
          <w:szCs w:val="28"/>
          <w:lang w:val="uk-UA"/>
        </w:rPr>
        <w:t xml:space="preserve"> міської ради</w:t>
      </w:r>
    </w:p>
    <w:p w:rsidR="00856B93" w:rsidRPr="00B10CE8" w:rsidRDefault="0085324A" w:rsidP="00B10CE8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23.01.</w:t>
      </w:r>
      <w:r w:rsidR="00856B93" w:rsidRPr="00B10CE8">
        <w:rPr>
          <w:sz w:val="28"/>
          <w:szCs w:val="28"/>
          <w:lang w:val="uk-UA"/>
        </w:rPr>
        <w:t>20</w:t>
      </w:r>
      <w:r w:rsidR="00C34509" w:rsidRPr="00B10CE8">
        <w:rPr>
          <w:sz w:val="28"/>
          <w:szCs w:val="28"/>
          <w:lang w:val="uk-UA"/>
        </w:rPr>
        <w:t>20</w:t>
      </w:r>
      <w:r w:rsidR="00856B93" w:rsidRPr="00B10CE8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83/1178</w:t>
      </w:r>
    </w:p>
    <w:p w:rsidR="00856B93" w:rsidRPr="00B10CE8" w:rsidRDefault="00856B93" w:rsidP="00856B93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856B93" w:rsidRPr="00B10CE8" w:rsidRDefault="00856B93" w:rsidP="00856B93">
      <w:pPr>
        <w:jc w:val="center"/>
        <w:rPr>
          <w:b/>
          <w:sz w:val="28"/>
          <w:szCs w:val="28"/>
          <w:lang w:val="uk-UA"/>
        </w:rPr>
      </w:pPr>
      <w:r w:rsidRPr="00B10CE8">
        <w:rPr>
          <w:b/>
          <w:sz w:val="28"/>
          <w:szCs w:val="28"/>
          <w:lang w:val="uk-UA"/>
        </w:rPr>
        <w:t>Звіт</w:t>
      </w:r>
    </w:p>
    <w:p w:rsidR="00856B93" w:rsidRPr="00B10CE8" w:rsidRDefault="00856B93" w:rsidP="00856B93">
      <w:pPr>
        <w:jc w:val="center"/>
        <w:rPr>
          <w:b/>
          <w:sz w:val="28"/>
          <w:szCs w:val="28"/>
          <w:lang w:val="uk-UA"/>
        </w:rPr>
      </w:pPr>
      <w:r w:rsidRPr="00B10CE8">
        <w:rPr>
          <w:b/>
          <w:sz w:val="28"/>
          <w:szCs w:val="28"/>
          <w:lang w:val="uk-UA"/>
        </w:rPr>
        <w:t>про здійснення державної регуляторної політики виконавчими</w:t>
      </w:r>
    </w:p>
    <w:p w:rsidR="00856B93" w:rsidRPr="00B10CE8" w:rsidRDefault="00856B93" w:rsidP="00856B93">
      <w:pPr>
        <w:jc w:val="center"/>
        <w:rPr>
          <w:b/>
          <w:sz w:val="28"/>
          <w:szCs w:val="28"/>
          <w:lang w:val="uk-UA"/>
        </w:rPr>
      </w:pPr>
      <w:r w:rsidRPr="00B10CE8">
        <w:rPr>
          <w:b/>
          <w:sz w:val="28"/>
          <w:szCs w:val="28"/>
          <w:lang w:val="uk-UA"/>
        </w:rPr>
        <w:t>органами Лисичанської міської ради у 2019 році</w:t>
      </w:r>
    </w:p>
    <w:p w:rsidR="00856B93" w:rsidRPr="00B10CE8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Здійснення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є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одним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важливих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напрямів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роботи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виконавчого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комітету,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який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спрямовано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подальше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впровадження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засад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території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поліпшення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умов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для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розвитку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господарської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</w:t>
      </w:r>
      <w:r w:rsidR="002A2039">
        <w:rPr>
          <w:b w:val="0"/>
          <w:bCs w:val="0"/>
          <w:szCs w:val="28"/>
          <w:lang w:val="uk-UA"/>
        </w:rPr>
        <w:t xml:space="preserve"> суб’єктами підприємницької діяльності</w:t>
      </w:r>
      <w:r w:rsidRPr="00354BF4">
        <w:rPr>
          <w:b w:val="0"/>
          <w:bCs w:val="0"/>
          <w:szCs w:val="28"/>
          <w:lang w:val="uk-UA"/>
        </w:rPr>
        <w:t>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Регуляторна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є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інструментом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досягнення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балансу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інтересів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між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державою,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підприємцями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споживачами,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запорукою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зменшення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бюрократичного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навантаження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="002A2039">
        <w:rPr>
          <w:b w:val="0"/>
          <w:bCs w:val="0"/>
          <w:szCs w:val="28"/>
          <w:lang w:val="uk-UA"/>
        </w:rPr>
        <w:t>мале та середнє підприємництво</w:t>
      </w:r>
      <w:r w:rsidRPr="00354BF4">
        <w:rPr>
          <w:b w:val="0"/>
          <w:bCs w:val="0"/>
          <w:szCs w:val="28"/>
          <w:lang w:val="uk-UA"/>
        </w:rPr>
        <w:t>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також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забезпечення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формування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конкурентоздатного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бізнес-середовища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Україні.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Реалізація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виконавчим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комітетом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протягом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2019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здійснювалась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відповідності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завдань,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визначених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Законом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України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засади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сфері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господарської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діяльності»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(далі</w:t>
      </w:r>
      <w:r>
        <w:rPr>
          <w:b w:val="0"/>
          <w:bCs w:val="0"/>
          <w:szCs w:val="28"/>
          <w:lang w:val="uk-UA"/>
        </w:rPr>
        <w:t xml:space="preserve"> </w:t>
      </w:r>
      <w:r w:rsidR="002A2039">
        <w:rPr>
          <w:b w:val="0"/>
          <w:bCs w:val="0"/>
          <w:szCs w:val="28"/>
          <w:lang w:val="uk-UA"/>
        </w:rPr>
        <w:t>–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Закон),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яких</w:t>
      </w:r>
      <w:r>
        <w:rPr>
          <w:b w:val="0"/>
          <w:bCs w:val="0"/>
          <w:szCs w:val="28"/>
          <w:lang w:val="uk-UA"/>
        </w:rPr>
        <w:t xml:space="preserve"> </w:t>
      </w:r>
      <w:r w:rsidR="002A2039">
        <w:rPr>
          <w:b w:val="0"/>
          <w:bCs w:val="0"/>
          <w:szCs w:val="28"/>
          <w:lang w:val="uk-UA"/>
        </w:rPr>
        <w:t>–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прийняття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виважених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рішень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урахуванням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максимально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можливих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позитивних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результатів,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спрямованих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забезпечення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балансу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інтересів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суб’єктів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господарювання,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громадян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влади.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метою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забезпечення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єдиного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системного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підходу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впровадження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робота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проводилась</w:t>
      </w:r>
      <w:r>
        <w:rPr>
          <w:b w:val="0"/>
          <w:bCs w:val="0"/>
          <w:szCs w:val="28"/>
          <w:lang w:val="uk-UA"/>
        </w:rPr>
        <w:t xml:space="preserve"> </w:t>
      </w:r>
      <w:r w:rsidR="002A2039">
        <w:rPr>
          <w:b w:val="0"/>
          <w:bCs w:val="0"/>
          <w:szCs w:val="28"/>
          <w:lang w:val="uk-UA"/>
        </w:rPr>
        <w:t>за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наступни</w:t>
      </w:r>
      <w:r w:rsidR="002A2039">
        <w:rPr>
          <w:b w:val="0"/>
          <w:bCs w:val="0"/>
          <w:szCs w:val="28"/>
          <w:lang w:val="uk-UA"/>
        </w:rPr>
        <w:t>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напрям</w:t>
      </w:r>
      <w:r w:rsidR="002A2039">
        <w:rPr>
          <w:b w:val="0"/>
          <w:bCs w:val="0"/>
          <w:szCs w:val="28"/>
          <w:lang w:val="uk-UA"/>
        </w:rPr>
        <w:t>ами</w:t>
      </w:r>
      <w:r w:rsidRPr="00354BF4">
        <w:rPr>
          <w:b w:val="0"/>
          <w:bCs w:val="0"/>
          <w:szCs w:val="28"/>
          <w:lang w:val="uk-UA"/>
        </w:rPr>
        <w:t>: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-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планування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підготовки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</w:t>
      </w:r>
      <w:r w:rsidR="002A2039">
        <w:rPr>
          <w:b w:val="0"/>
          <w:bCs w:val="0"/>
          <w:szCs w:val="28"/>
          <w:lang w:val="uk-UA"/>
        </w:rPr>
        <w:t>є</w:t>
      </w:r>
      <w:r w:rsidRPr="00354BF4">
        <w:rPr>
          <w:b w:val="0"/>
          <w:bCs w:val="0"/>
          <w:szCs w:val="28"/>
          <w:lang w:val="uk-UA"/>
        </w:rPr>
        <w:t>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актів;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-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дотримання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єдиного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підходу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підготовки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аналізу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впливу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здійснення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відстежен</w:t>
      </w:r>
      <w:r w:rsidR="002A2039">
        <w:rPr>
          <w:b w:val="0"/>
          <w:bCs w:val="0"/>
          <w:szCs w:val="28"/>
          <w:lang w:val="uk-UA"/>
        </w:rPr>
        <w:t>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результативності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актів;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-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оприлюднення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документів,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підготовлених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процесі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здійснення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діяльності;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-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проведення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заходів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відстеження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результативності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актів;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-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ведення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реєстру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актів;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-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залучення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представників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суб'єктів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господарювання,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об'єднань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громадських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організацій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реалізації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ін.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Основною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метою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здійснення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є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вдосконалення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процесу,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підвищення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ефективності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нормативно-правових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відповідності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вимог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Закону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2019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році,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попередні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вживались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заходи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щодо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забезпечення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максимальної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відкритості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процесу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дотримання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єдиного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підходу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підготовки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розробки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Одним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основних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принципів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запровадження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такого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механізму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виступають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прозорість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публічність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процесів,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врахування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громадської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думки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всіх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етапах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обов’язковий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розгляд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ініціатив,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зауважень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пропозицій,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наданих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lastRenderedPageBreak/>
        <w:t>встановленому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Законом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порядку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фізичними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юридичними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особами,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об’єднаннями,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також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їх</w:t>
      </w:r>
      <w:r>
        <w:rPr>
          <w:b w:val="0"/>
          <w:bCs w:val="0"/>
          <w:szCs w:val="28"/>
          <w:lang w:val="uk-UA"/>
        </w:rPr>
        <w:t xml:space="preserve"> </w:t>
      </w:r>
      <w:r w:rsidR="002A2039" w:rsidRPr="00354BF4">
        <w:rPr>
          <w:b w:val="0"/>
          <w:bCs w:val="0"/>
          <w:szCs w:val="28"/>
          <w:lang w:val="uk-UA"/>
        </w:rPr>
        <w:t>обґрунтованість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публічність.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Саме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для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реалізації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цього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принципу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метою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інформування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громадськості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залучення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здійснення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виконавчим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комітетом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офіційному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веб-сайті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функціонує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розділ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«Регуляторна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політика»,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рубриках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розміщуються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всі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повідомлення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оприлюднення,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аналізи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впливу,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звіти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відстеження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результативності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інша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інформація,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що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стосується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реалізації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Порядок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здійснення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органами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посадовими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особами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місцевого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самоврядування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передбачений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розділом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VI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ст.ст.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31-38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Закону.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Підготовка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розробка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протягом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здійснювалась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відповідно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розроблених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затверджених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Планів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підготовки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виконавчого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комітету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2019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рік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відповідних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змін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них,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внесених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дотриманням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вимог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Закону.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Усі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рішень,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що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мають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ознаки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проходять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встановлену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чинним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законодавством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процедуру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розробки,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прийняття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оприлюднення.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Так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звітному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періоді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розроблялися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затвердження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«Положення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порядок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демонтажу,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обліку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зберігання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незаконно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встановлених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тимчасових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споруд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території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Лисичанська»,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затвердження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«Порядку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розміщення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зовнішньої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реклами,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оплати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тимчасове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користування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місцями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розміщення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спеціальних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рекламних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конструкцій,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демонтажу,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обліку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зберігання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спеціальних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конструкцій,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встановлених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місцях,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знаходяться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комунальній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власності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Лисичанська»,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затвердження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Положення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порядок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приватизації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комунального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майна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територіальної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громади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Лисичанська».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Рішенням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19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грудня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2019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№81/1163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затверджено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Положення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порядок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приватизації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комунального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майна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територіальної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громади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Лисичанська,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встановлено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єдиний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механізм,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згідно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потенційним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покупцям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надається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можливість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встановленому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порядку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єдиними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формами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подавати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заяви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включення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об’єктів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права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комунальної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власності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переліку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об’єктів,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що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підлягають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приватизації.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двом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попереднім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проектам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після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отримання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зауважень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пропозицій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зазначені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були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направлені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доопрацювання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заплановані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розгляду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2020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році.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Важливим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етапом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після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розроблення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введення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</w:t>
      </w:r>
      <w:r w:rsidR="00416ED7">
        <w:rPr>
          <w:b w:val="0"/>
          <w:bCs w:val="0"/>
          <w:szCs w:val="28"/>
          <w:lang w:val="uk-UA"/>
        </w:rPr>
        <w:t xml:space="preserve">у </w:t>
      </w:r>
      <w:r w:rsidRPr="00354BF4">
        <w:rPr>
          <w:b w:val="0"/>
          <w:bCs w:val="0"/>
          <w:szCs w:val="28"/>
          <w:lang w:val="uk-UA"/>
        </w:rPr>
        <w:t>є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відстеження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його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результативності.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Відстеження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результативності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є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одним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найважливіших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аспектів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який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передбачає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систематичний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аналіз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прийнятих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метою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визначення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ефективності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доцільності.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Відповідно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статті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10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Закону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відстеження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результативності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обов'язково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проводиться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щодо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кожного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акту,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включає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себе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заходи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базового,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повторного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періодичного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відстеження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результативності.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lastRenderedPageBreak/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цією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метою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стосовно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кожного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</w:t>
      </w:r>
      <w:r w:rsidR="00416ED7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здійснюються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послідовно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базове,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повторне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періодичні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відстеження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результативності.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звітний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період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підготовлено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6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звітів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відстеження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результативності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саме: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базових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–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1,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повторних</w:t>
      </w:r>
      <w:r>
        <w:rPr>
          <w:b w:val="0"/>
          <w:bCs w:val="0"/>
          <w:szCs w:val="28"/>
          <w:lang w:val="uk-UA"/>
        </w:rPr>
        <w:t xml:space="preserve"> </w:t>
      </w:r>
      <w:r w:rsidR="00416ED7">
        <w:rPr>
          <w:b w:val="0"/>
          <w:bCs w:val="0"/>
          <w:szCs w:val="28"/>
          <w:lang w:val="uk-UA"/>
        </w:rPr>
        <w:t>–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1,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періодичних</w:t>
      </w:r>
      <w:r>
        <w:rPr>
          <w:b w:val="0"/>
          <w:bCs w:val="0"/>
          <w:szCs w:val="28"/>
          <w:lang w:val="uk-UA"/>
        </w:rPr>
        <w:t xml:space="preserve"> </w:t>
      </w:r>
      <w:r w:rsidR="00416ED7">
        <w:rPr>
          <w:b w:val="0"/>
          <w:bCs w:val="0"/>
          <w:szCs w:val="28"/>
          <w:lang w:val="uk-UA"/>
        </w:rPr>
        <w:t>–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4.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Аналіз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повторних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періодичних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відстежень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свідчить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те,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що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прийняття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показали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достатній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рівень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досягнення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визначених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цілей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реалізації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положень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мають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позитивну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динаміку.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Також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діяльність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відстеження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результативності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передбачає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систематичний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аналіз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прийнятих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метою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визнання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ефективності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доцільності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впровадженого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регулювання.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проведення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саме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таких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відстежень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являються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підставою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для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перегляду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внесення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нього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змін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або,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навіть,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скасування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його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дії.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Так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один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саме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рішення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виконавчого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комітету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затвердження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«Порядку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присвоєння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адрес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об’єктам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нерухомого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майна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містах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Лисичанську,</w:t>
      </w:r>
      <w:r>
        <w:rPr>
          <w:b w:val="0"/>
          <w:bCs w:val="0"/>
          <w:szCs w:val="28"/>
          <w:lang w:val="uk-UA"/>
        </w:rPr>
        <w:t xml:space="preserve"> </w:t>
      </w:r>
      <w:proofErr w:type="spellStart"/>
      <w:r w:rsidRPr="00354BF4">
        <w:rPr>
          <w:b w:val="0"/>
          <w:bCs w:val="0"/>
          <w:szCs w:val="28"/>
          <w:lang w:val="uk-UA"/>
        </w:rPr>
        <w:t>Новодружеську</w:t>
      </w:r>
      <w:proofErr w:type="spellEnd"/>
      <w:r w:rsidRPr="00354BF4">
        <w:rPr>
          <w:b w:val="0"/>
          <w:bCs w:val="0"/>
          <w:szCs w:val="28"/>
          <w:lang w:val="uk-UA"/>
        </w:rPr>
        <w:t>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Привілля»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04.12.2018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№718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був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скасований,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так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втратив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чинність.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Для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систематизації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проводиться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робота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формування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доповнення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реєстру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діючих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прийнятих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виконавчим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комітетом,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який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також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розміщено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офіційному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сайті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ради.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Подальше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впровадження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неможливо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без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дотримання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ще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одного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принципів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-послідовності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процесів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усіх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етапах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підготовки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Реалізація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цього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принципу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забезпечується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плануванням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Тому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цією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метою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відповідно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діючого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законодавства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розроблені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затверджені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Плани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підготовки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виконавчого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комітету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2020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рік.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Так,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відповідно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статті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7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Закону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рішенням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28.11.2019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№79/1140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«Про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затвердження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плану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підготовки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2019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рік»,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затверджено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План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виконавчого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комітету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підготовки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2020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рік,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відповідно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2020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році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планується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розробити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3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акти.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План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оприлюднено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міській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газеті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</w:t>
      </w:r>
      <w:proofErr w:type="spellStart"/>
      <w:r w:rsidRPr="00354BF4">
        <w:rPr>
          <w:b w:val="0"/>
          <w:bCs w:val="0"/>
          <w:szCs w:val="28"/>
          <w:lang w:val="uk-UA"/>
        </w:rPr>
        <w:t>Новый</w:t>
      </w:r>
      <w:proofErr w:type="spellEnd"/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путь»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офіційному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сайті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ради.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Також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продовжується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діяльність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реалізації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сфері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підприємництва,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спрямована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забезпечення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максимальної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прозорості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прийняття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рішень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обов’язковим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використанням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оновленої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Методики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проведення</w:t>
      </w:r>
      <w:r>
        <w:rPr>
          <w:b w:val="0"/>
          <w:bCs w:val="0"/>
          <w:szCs w:val="28"/>
          <w:lang w:val="uk-UA"/>
        </w:rPr>
        <w:t xml:space="preserve"> </w:t>
      </w:r>
      <w:r w:rsidR="002A2039" w:rsidRPr="00354BF4">
        <w:rPr>
          <w:b w:val="0"/>
          <w:bCs w:val="0"/>
          <w:szCs w:val="28"/>
          <w:lang w:val="uk-UA"/>
        </w:rPr>
        <w:t>обґрунтованого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аналізу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впливу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</w:t>
      </w:r>
      <w:r w:rsidR="00416ED7">
        <w:rPr>
          <w:b w:val="0"/>
          <w:bCs w:val="0"/>
          <w:szCs w:val="28"/>
          <w:lang w:val="uk-UA"/>
        </w:rPr>
        <w:t>у</w:t>
      </w:r>
      <w:r w:rsidRPr="00354BF4">
        <w:rPr>
          <w:b w:val="0"/>
          <w:bCs w:val="0"/>
          <w:szCs w:val="28"/>
          <w:lang w:val="uk-UA"/>
        </w:rPr>
        <w:t>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якій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визначено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розрахунок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проведення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«М-тесту»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(оцінки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витрат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економічних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виг</w:t>
      </w:r>
      <w:r w:rsidR="00416ED7">
        <w:rPr>
          <w:b w:val="0"/>
          <w:bCs w:val="0"/>
          <w:szCs w:val="28"/>
          <w:lang w:val="uk-UA"/>
        </w:rPr>
        <w:t>і</w:t>
      </w:r>
      <w:r w:rsidRPr="00354BF4">
        <w:rPr>
          <w:b w:val="0"/>
          <w:bCs w:val="0"/>
          <w:szCs w:val="28"/>
          <w:lang w:val="uk-UA"/>
        </w:rPr>
        <w:t>д)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відповідно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змін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чинного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законодавства.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Впровадження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Методики,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саме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чіткості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виконання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залежить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ефективність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здійснення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усунення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перешкод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для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розвитку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підприємницької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інноваційно-інвестиційної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цією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метою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розроблено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виконуються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відповідні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розділи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Програми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підтримки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малого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середнього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підприємництва,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які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спрямовані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вдосконалення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правового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регулювання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господарських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відносин,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недопущення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прийняття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економічно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недоцільних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неефективних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усунення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перешкод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для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розвитку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підприємницької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lastRenderedPageBreak/>
        <w:t>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реалізації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заходів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цієї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Програми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особлива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увага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надалі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приділятиметься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залученню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представників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підприємницьких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структур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громадських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організацій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процесу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регулювання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обговорення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сфері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підприємництва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щодо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впорядкування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систематизації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нормативно-правової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бази.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цілому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стан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реалізації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державної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політики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визначає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стійку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тенденцію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упорядкування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процесів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відповідно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вимог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нормативно-правової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бази,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впровадження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принципів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дозволяє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враховувати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баланс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інтересів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влади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суб'єктів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господарювання.</w:t>
      </w:r>
    </w:p>
    <w:p w:rsidR="00856B93" w:rsidRPr="00354BF4" w:rsidRDefault="00856B93" w:rsidP="00856B93">
      <w:pPr>
        <w:pStyle w:val="2"/>
        <w:tabs>
          <w:tab w:val="left" w:pos="1276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354BF4">
        <w:rPr>
          <w:b w:val="0"/>
          <w:bCs w:val="0"/>
          <w:szCs w:val="28"/>
          <w:lang w:val="uk-UA"/>
        </w:rPr>
        <w:t>Робота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Лисичанської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міської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ради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її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виконавчого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комітету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буде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надалі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спрямована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прийняття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виважених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рішень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урахуванням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максимально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можливих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позитивних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результатів,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спрямованих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поліпшення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умов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для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розвитку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підприємницької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господарської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діяльності,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обов’язковим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забезпеченням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відкритості,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гласності,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доступності,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нормативно-правової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інформації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та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участі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громадськості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обговорені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проектів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регуляторних</w:t>
      </w:r>
      <w:r>
        <w:rPr>
          <w:b w:val="0"/>
          <w:bCs w:val="0"/>
          <w:szCs w:val="28"/>
          <w:lang w:val="uk-UA"/>
        </w:rPr>
        <w:t xml:space="preserve"> </w:t>
      </w:r>
      <w:r w:rsidRPr="00354BF4">
        <w:rPr>
          <w:b w:val="0"/>
          <w:bCs w:val="0"/>
          <w:szCs w:val="28"/>
          <w:lang w:val="uk-UA"/>
        </w:rPr>
        <w:t>актів.</w:t>
      </w:r>
    </w:p>
    <w:p w:rsidR="00856B93" w:rsidRPr="00856B93" w:rsidRDefault="00856B93" w:rsidP="00856B93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856B93" w:rsidRDefault="00856B93" w:rsidP="00856B93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2A2039" w:rsidRDefault="002A2039" w:rsidP="00856B93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2A2039" w:rsidRDefault="002A2039" w:rsidP="00856B93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2A2039" w:rsidRPr="00856B93" w:rsidRDefault="002A2039" w:rsidP="00856B93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  <w:bookmarkStart w:id="0" w:name="_GoBack"/>
      <w:bookmarkEnd w:id="0"/>
    </w:p>
    <w:sectPr w:rsidR="002A2039" w:rsidRPr="00856B93" w:rsidSect="00B10CE8">
      <w:pgSz w:w="11907" w:h="16839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286EB4"/>
    <w:multiLevelType w:val="hybridMultilevel"/>
    <w:tmpl w:val="389C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66136E1"/>
    <w:multiLevelType w:val="multilevel"/>
    <w:tmpl w:val="2A34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BB4B93"/>
    <w:multiLevelType w:val="multilevel"/>
    <w:tmpl w:val="2BB2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B268DE"/>
    <w:multiLevelType w:val="hybridMultilevel"/>
    <w:tmpl w:val="7482FD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6252CF"/>
    <w:multiLevelType w:val="multilevel"/>
    <w:tmpl w:val="25C8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061DDB"/>
    <w:multiLevelType w:val="hybridMultilevel"/>
    <w:tmpl w:val="93721D6C"/>
    <w:lvl w:ilvl="0" w:tplc="011A96F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9E46D1F"/>
    <w:multiLevelType w:val="hybridMultilevel"/>
    <w:tmpl w:val="10167E78"/>
    <w:lvl w:ilvl="0" w:tplc="F49A4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14"/>
  </w:num>
  <w:num w:numId="21">
    <w:abstractNumId w:val="20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13C3E"/>
    <w:rsid w:val="00044EBD"/>
    <w:rsid w:val="000536A4"/>
    <w:rsid w:val="00057390"/>
    <w:rsid w:val="000A03BC"/>
    <w:rsid w:val="000D4A5F"/>
    <w:rsid w:val="000F0D07"/>
    <w:rsid w:val="001004B7"/>
    <w:rsid w:val="00104EE8"/>
    <w:rsid w:val="001373F5"/>
    <w:rsid w:val="00143D46"/>
    <w:rsid w:val="00174699"/>
    <w:rsid w:val="00215A6F"/>
    <w:rsid w:val="00242DF7"/>
    <w:rsid w:val="002927FE"/>
    <w:rsid w:val="002A2039"/>
    <w:rsid w:val="002A68C6"/>
    <w:rsid w:val="002C33A9"/>
    <w:rsid w:val="00320D27"/>
    <w:rsid w:val="00367D58"/>
    <w:rsid w:val="003B5E74"/>
    <w:rsid w:val="003D1018"/>
    <w:rsid w:val="003E5E80"/>
    <w:rsid w:val="003F5F50"/>
    <w:rsid w:val="004117FD"/>
    <w:rsid w:val="00416ED7"/>
    <w:rsid w:val="00430351"/>
    <w:rsid w:val="0047096A"/>
    <w:rsid w:val="00473276"/>
    <w:rsid w:val="0049129D"/>
    <w:rsid w:val="0049418B"/>
    <w:rsid w:val="00523765"/>
    <w:rsid w:val="0058419D"/>
    <w:rsid w:val="005C7109"/>
    <w:rsid w:val="005D2618"/>
    <w:rsid w:val="0060452F"/>
    <w:rsid w:val="006067D1"/>
    <w:rsid w:val="00621B91"/>
    <w:rsid w:val="00661BA9"/>
    <w:rsid w:val="00676311"/>
    <w:rsid w:val="00700640"/>
    <w:rsid w:val="007030E9"/>
    <w:rsid w:val="00733A9E"/>
    <w:rsid w:val="00735DA9"/>
    <w:rsid w:val="007376EA"/>
    <w:rsid w:val="00775444"/>
    <w:rsid w:val="007779E8"/>
    <w:rsid w:val="007855D3"/>
    <w:rsid w:val="007C72D4"/>
    <w:rsid w:val="00801A80"/>
    <w:rsid w:val="008415D7"/>
    <w:rsid w:val="0085324A"/>
    <w:rsid w:val="008535C0"/>
    <w:rsid w:val="00856B93"/>
    <w:rsid w:val="00884818"/>
    <w:rsid w:val="008D5326"/>
    <w:rsid w:val="00930116"/>
    <w:rsid w:val="009344D6"/>
    <w:rsid w:val="009507D9"/>
    <w:rsid w:val="0095348C"/>
    <w:rsid w:val="00961F99"/>
    <w:rsid w:val="009B1F82"/>
    <w:rsid w:val="009F14B7"/>
    <w:rsid w:val="00A00E00"/>
    <w:rsid w:val="00A26469"/>
    <w:rsid w:val="00A755E8"/>
    <w:rsid w:val="00AA317C"/>
    <w:rsid w:val="00AA76A0"/>
    <w:rsid w:val="00B10CE8"/>
    <w:rsid w:val="00B36C98"/>
    <w:rsid w:val="00BA0972"/>
    <w:rsid w:val="00BD0535"/>
    <w:rsid w:val="00C0033C"/>
    <w:rsid w:val="00C26BCA"/>
    <w:rsid w:val="00C34509"/>
    <w:rsid w:val="00C718B1"/>
    <w:rsid w:val="00C74CE6"/>
    <w:rsid w:val="00D1151A"/>
    <w:rsid w:val="00D121C0"/>
    <w:rsid w:val="00D35BF4"/>
    <w:rsid w:val="00D64B59"/>
    <w:rsid w:val="00D7284A"/>
    <w:rsid w:val="00DA2908"/>
    <w:rsid w:val="00DE4AB6"/>
    <w:rsid w:val="00DE5C29"/>
    <w:rsid w:val="00E12D74"/>
    <w:rsid w:val="00E84BE7"/>
    <w:rsid w:val="00EB553C"/>
    <w:rsid w:val="00F14B49"/>
    <w:rsid w:val="00F26EB3"/>
    <w:rsid w:val="00F3702E"/>
    <w:rsid w:val="00F612BC"/>
    <w:rsid w:val="00F762D4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link w:val="2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0536A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F9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61F9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755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hapkaDocumentu">
    <w:name w:val="Shapka Documentu"/>
    <w:basedOn w:val="a"/>
    <w:rsid w:val="00A755E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link w:val="2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0536A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F9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61F9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755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hapkaDocumentu">
    <w:name w:val="Shapka Documentu"/>
    <w:basedOn w:val="a"/>
    <w:rsid w:val="00A755E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Компик</cp:lastModifiedBy>
  <cp:revision>6</cp:revision>
  <cp:lastPrinted>2019-12-09T07:16:00Z</cp:lastPrinted>
  <dcterms:created xsi:type="dcterms:W3CDTF">2020-01-08T11:48:00Z</dcterms:created>
  <dcterms:modified xsi:type="dcterms:W3CDTF">2020-01-24T08:55:00Z</dcterms:modified>
</cp:coreProperties>
</file>