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8F4F19" w:rsidRDefault="00D5708F" w:rsidP="00A54BD0">
      <w:pPr>
        <w:pStyle w:val="af2"/>
        <w:jc w:val="center"/>
        <w:rPr>
          <w:rFonts w:ascii="Times New Roman" w:hAnsi="Times New Roman"/>
          <w:lang w:val="uk-UA"/>
        </w:rPr>
      </w:pPr>
      <w:r w:rsidRPr="008F4F19">
        <w:rPr>
          <w:rFonts w:ascii="Times New Roman" w:hAnsi="Times New Roman"/>
          <w:noProof/>
          <w:lang w:eastAsia="ru-RU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8F4F19" w:rsidRDefault="00D5708F" w:rsidP="00A54BD0">
      <w:pPr>
        <w:pStyle w:val="af2"/>
        <w:rPr>
          <w:rFonts w:ascii="Times New Roman" w:hAnsi="Times New Roman"/>
          <w:sz w:val="20"/>
          <w:szCs w:val="20"/>
          <w:lang w:val="uk-UA"/>
        </w:rPr>
      </w:pP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ВІЙСЬКОВО-ЦИВІЛЬНА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АДМІНІСТРАЦІЯ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МІСТА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ЛИСИЧАНСЬК</w:t>
      </w: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ЛУГАНСЬКОЇ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ОБЛАСТІ</w:t>
      </w:r>
    </w:p>
    <w:p w:rsidR="00E56833" w:rsidRPr="008F4F19" w:rsidRDefault="00E56833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РОЗПОРЯДЖЕННЯ</w:t>
      </w:r>
    </w:p>
    <w:p w:rsidR="004C4D9D" w:rsidRPr="008F4F19" w:rsidRDefault="004C4D9D" w:rsidP="00A54BD0">
      <w:pPr>
        <w:pStyle w:val="af2"/>
        <w:jc w:val="center"/>
        <w:rPr>
          <w:rFonts w:ascii="Times New Roman" w:hAnsi="Times New Roman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КЕРІВНИКА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ВІЙСЬКОВО-ЦИВІЛЬНОЇ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АДМІНІСТРАЦІЇ</w:t>
      </w:r>
    </w:p>
    <w:p w:rsidR="00D5708F" w:rsidRPr="008F4F19" w:rsidRDefault="00D5708F" w:rsidP="00A54BD0">
      <w:pPr>
        <w:pStyle w:val="af2"/>
        <w:rPr>
          <w:rFonts w:ascii="Times New Roman" w:hAnsi="Times New Roman"/>
          <w:lang w:val="uk-UA"/>
        </w:rPr>
      </w:pPr>
    </w:p>
    <w:p w:rsidR="00D5708F" w:rsidRPr="008F4F19" w:rsidRDefault="00CF4F1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02.10.2020</w:t>
      </w:r>
      <w:r w:rsidR="00FD04F5" w:rsidRPr="008F4F19">
        <w:rPr>
          <w:rFonts w:ascii="Times New Roman" w:hAnsi="Times New Roman"/>
          <w:sz w:val="28"/>
          <w:szCs w:val="28"/>
          <w:lang w:val="uk-UA"/>
        </w:rPr>
        <w:tab/>
      </w:r>
      <w:r w:rsidR="001E625A" w:rsidRPr="008F4F19">
        <w:rPr>
          <w:rFonts w:ascii="Times New Roman" w:hAnsi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F4F19">
        <w:rPr>
          <w:rFonts w:ascii="Times New Roman" w:hAnsi="Times New Roman"/>
          <w:sz w:val="28"/>
          <w:szCs w:val="28"/>
          <w:lang w:val="uk-UA"/>
        </w:rPr>
        <w:t>м</w:t>
      </w:r>
      <w:r w:rsidR="001C4AF6" w:rsidRPr="008F4F19">
        <w:rPr>
          <w:rFonts w:ascii="Times New Roman" w:hAnsi="Times New Roman"/>
          <w:sz w:val="28"/>
          <w:szCs w:val="28"/>
          <w:lang w:val="uk-UA"/>
        </w:rPr>
        <w:t>.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E7D2B" w:rsidRPr="008F4F19">
        <w:rPr>
          <w:rFonts w:ascii="Times New Roman" w:hAnsi="Times New Roman"/>
          <w:sz w:val="28"/>
          <w:szCs w:val="28"/>
          <w:lang w:val="uk-UA"/>
        </w:rPr>
        <w:t>Лисичанськ</w:t>
      </w:r>
      <w:r w:rsidR="00EE7D2B" w:rsidRPr="008F4F19">
        <w:rPr>
          <w:rFonts w:ascii="Times New Roman" w:hAnsi="Times New Roman"/>
          <w:sz w:val="28"/>
          <w:szCs w:val="28"/>
          <w:lang w:val="uk-UA"/>
        </w:rPr>
        <w:tab/>
      </w:r>
      <w:r w:rsidR="00BF3489" w:rsidRPr="008F4F19">
        <w:rPr>
          <w:rFonts w:ascii="Times New Roman" w:hAnsi="Times New Roman"/>
          <w:sz w:val="28"/>
          <w:szCs w:val="28"/>
          <w:lang w:val="uk-UA"/>
        </w:rPr>
        <w:tab/>
      </w:r>
      <w:r w:rsidR="00BF3489" w:rsidRPr="008F4F19">
        <w:rPr>
          <w:rFonts w:ascii="Times New Roman" w:hAnsi="Times New Roman"/>
          <w:sz w:val="28"/>
          <w:szCs w:val="28"/>
          <w:lang w:val="uk-UA"/>
        </w:rPr>
        <w:tab/>
      </w:r>
      <w:r w:rsidR="00BF3489" w:rsidRPr="008F4F19">
        <w:rPr>
          <w:rFonts w:ascii="Times New Roman" w:hAnsi="Times New Roman"/>
          <w:sz w:val="28"/>
          <w:szCs w:val="28"/>
          <w:lang w:val="uk-UA"/>
        </w:rPr>
        <w:tab/>
      </w:r>
      <w:r w:rsidR="001E625A" w:rsidRPr="008F4F19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65505" w:rsidRPr="008F4F19">
        <w:rPr>
          <w:rFonts w:ascii="Times New Roman" w:hAnsi="Times New Roman"/>
          <w:sz w:val="28"/>
          <w:szCs w:val="28"/>
          <w:lang w:val="uk-UA"/>
        </w:rPr>
        <w:t>№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504</w:t>
      </w:r>
    </w:p>
    <w:p w:rsidR="008C5AA2" w:rsidRPr="008F4F19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016E3B" w:rsidRPr="008F4F19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Про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4A24" w:rsidRPr="008F4F19">
        <w:rPr>
          <w:rFonts w:ascii="Times New Roman" w:hAnsi="Times New Roman"/>
          <w:b/>
          <w:sz w:val="28"/>
          <w:szCs w:val="28"/>
          <w:lang w:val="uk-UA"/>
        </w:rPr>
        <w:t>затвердження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b/>
          <w:sz w:val="28"/>
          <w:szCs w:val="28"/>
          <w:lang w:val="uk-UA"/>
        </w:rPr>
        <w:t>Програми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b/>
          <w:sz w:val="28"/>
          <w:szCs w:val="28"/>
          <w:lang w:val="uk-UA"/>
        </w:rPr>
        <w:t>розвитку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016E3B" w:rsidRPr="008F4F19" w:rsidRDefault="00BF1073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та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фінансової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підтримки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КНП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«</w:t>
      </w:r>
      <w:r w:rsidR="00016E3B" w:rsidRPr="008F4F19">
        <w:rPr>
          <w:rFonts w:ascii="Times New Roman" w:hAnsi="Times New Roman"/>
          <w:b/>
          <w:sz w:val="28"/>
          <w:szCs w:val="28"/>
          <w:lang w:val="uk-UA"/>
        </w:rPr>
        <w:t xml:space="preserve">Міська </w:t>
      </w:r>
    </w:p>
    <w:p w:rsidR="00B92F9C" w:rsidRPr="008F4F19" w:rsidRDefault="00016E3B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стоматологічна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поліклініка</w:t>
      </w:r>
      <w:r w:rsidR="0019494E" w:rsidRPr="008F4F19">
        <w:rPr>
          <w:rFonts w:ascii="Times New Roman" w:hAnsi="Times New Roman"/>
          <w:b/>
          <w:sz w:val="28"/>
          <w:szCs w:val="28"/>
          <w:lang w:val="uk-UA"/>
        </w:rPr>
        <w:t>»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b/>
          <w:sz w:val="28"/>
          <w:szCs w:val="28"/>
          <w:lang w:val="uk-UA"/>
        </w:rPr>
        <w:t>на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5946CE">
        <w:rPr>
          <w:rFonts w:ascii="Times New Roman" w:hAnsi="Times New Roman"/>
          <w:b/>
          <w:sz w:val="28"/>
          <w:szCs w:val="28"/>
          <w:lang w:val="uk-UA"/>
        </w:rPr>
        <w:t>2021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b/>
          <w:sz w:val="28"/>
          <w:szCs w:val="28"/>
          <w:lang w:val="uk-UA"/>
        </w:rPr>
        <w:t>рік</w:t>
      </w:r>
    </w:p>
    <w:p w:rsidR="008C5AA2" w:rsidRPr="008F4F19" w:rsidRDefault="008C5AA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8F4F19" w:rsidRDefault="0055520D" w:rsidP="00A54BD0">
      <w:pPr>
        <w:pStyle w:val="af2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F4F19">
        <w:rPr>
          <w:rFonts w:ascii="Times New Roman" w:hAnsi="Times New Roman"/>
          <w:sz w:val="28"/>
          <w:szCs w:val="28"/>
          <w:lang w:val="uk-UA"/>
        </w:rPr>
        <w:t>З метою поліпшення здоров’я населення і забезпечення соціально-економічного розвитку міста та подальшого удосконалення роботи в галузі охорони здоров’я міста Лисичанська Луганської області, керуючись пунктом 1 частини 1 статті 4 Закону України «Про військово-цивільні адміністрації» від 03.02.2015 №141-VIII, статтями 18</w:t>
      </w:r>
      <w:r w:rsidR="008A0D01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Закону України «Основи законодавства України про охорону</w:t>
      </w:r>
      <w:r w:rsidR="008A0D01" w:rsidRPr="008F4F19">
        <w:rPr>
          <w:rFonts w:ascii="Times New Roman" w:hAnsi="Times New Roman"/>
          <w:sz w:val="28"/>
          <w:szCs w:val="28"/>
          <w:lang w:val="uk-UA"/>
        </w:rPr>
        <w:t xml:space="preserve"> здоров'я» від 19.11.1992 № 2802</w:t>
      </w:r>
      <w:r w:rsidRPr="008F4F19">
        <w:rPr>
          <w:rFonts w:ascii="Times New Roman" w:hAnsi="Times New Roman"/>
          <w:sz w:val="28"/>
          <w:szCs w:val="28"/>
          <w:lang w:val="uk-UA"/>
        </w:rPr>
        <w:t>-XII, статтею 3 Закону України «Про державні фінансові гарантії медичного обслуговування населення» від 19.10.2017 № 2168-VIII, пунктом 3 статті 71 Бюджетного кодексу України від 08.07.2010 №2456-VІ, розпорядженням КМУ «Про схвалення Концепції реформи фінансування системи охорони здоров’я» від 30.11.2016 № 1013-р</w:t>
      </w:r>
    </w:p>
    <w:p w:rsidR="00A413EC" w:rsidRPr="008F4F19" w:rsidRDefault="00A413EC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16837" w:rsidRPr="008F4F19" w:rsidRDefault="00F16837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зобов’язую:</w:t>
      </w:r>
    </w:p>
    <w:p w:rsidR="00AC32C2" w:rsidRPr="008F4F19" w:rsidRDefault="00AC32C2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F1073" w:rsidRPr="008F4F19" w:rsidRDefault="005946CE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Затвердити </w:t>
      </w:r>
      <w:r w:rsidR="00904DBE" w:rsidRPr="008F4F19">
        <w:rPr>
          <w:rFonts w:ascii="Times New Roman" w:hAnsi="Times New Roman"/>
          <w:sz w:val="28"/>
          <w:szCs w:val="28"/>
          <w:lang w:val="uk-UA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>Програму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розвитку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та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фінансової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підтримки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КНП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«</w:t>
      </w:r>
      <w:r w:rsidR="00016E3B" w:rsidRPr="008F4F19">
        <w:rPr>
          <w:rFonts w:ascii="Times New Roman" w:hAnsi="Times New Roman"/>
          <w:sz w:val="28"/>
          <w:szCs w:val="28"/>
          <w:lang w:val="uk-UA"/>
        </w:rPr>
        <w:t>Міська стоматологічна поліклініка»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2021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F1073" w:rsidRPr="008F4F19">
        <w:rPr>
          <w:rFonts w:ascii="Times New Roman" w:hAnsi="Times New Roman"/>
          <w:sz w:val="28"/>
          <w:szCs w:val="28"/>
          <w:lang w:val="uk-UA"/>
        </w:rPr>
        <w:t>рік»</w:t>
      </w:r>
      <w:r>
        <w:rPr>
          <w:rFonts w:ascii="Times New Roman" w:hAnsi="Times New Roman"/>
          <w:sz w:val="28"/>
          <w:szCs w:val="28"/>
          <w:lang w:val="uk-UA"/>
        </w:rPr>
        <w:t xml:space="preserve"> (Додаток).</w:t>
      </w:r>
    </w:p>
    <w:p w:rsidR="00A54BD0" w:rsidRPr="005946CE" w:rsidRDefault="00A54BD0" w:rsidP="005946CE">
      <w:pPr>
        <w:jc w:val="both"/>
        <w:rPr>
          <w:sz w:val="28"/>
          <w:szCs w:val="28"/>
          <w:lang w:val="uk-UA"/>
        </w:rPr>
      </w:pPr>
    </w:p>
    <w:p w:rsidR="00A54BD0" w:rsidRPr="008F4F19" w:rsidRDefault="00B64A24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4F19">
        <w:rPr>
          <w:rFonts w:ascii="Times New Roman" w:hAnsi="Times New Roman"/>
          <w:sz w:val="28"/>
          <w:szCs w:val="28"/>
          <w:lang w:val="uk-UA"/>
        </w:rPr>
        <w:t>Контроль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за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виконанням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Програми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покласти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на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відділ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охорони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здоров’я</w:t>
      </w:r>
      <w:r w:rsidR="00016E3B" w:rsidRPr="008F4F19">
        <w:rPr>
          <w:rFonts w:ascii="Times New Roman" w:hAnsi="Times New Roman"/>
          <w:sz w:val="28"/>
          <w:szCs w:val="28"/>
          <w:lang w:val="uk-UA"/>
        </w:rPr>
        <w:t xml:space="preserve"> військово-цивільної адміністрації міста Лисичанськ Луганської області.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54BD0" w:rsidRPr="008F4F19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A54BD0" w:rsidRPr="008F4F19" w:rsidRDefault="00AC32C2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F4F19">
        <w:rPr>
          <w:rFonts w:ascii="Times New Roman" w:hAnsi="Times New Roman"/>
          <w:sz w:val="28"/>
          <w:szCs w:val="28"/>
          <w:lang w:val="uk-UA"/>
        </w:rPr>
        <w:t>Дане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розпорядження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підлягає</w:t>
      </w:r>
      <w:r w:rsidR="00AF40CB" w:rsidRPr="008F4F1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sz w:val="28"/>
          <w:szCs w:val="28"/>
          <w:lang w:val="uk-UA"/>
        </w:rPr>
        <w:t>оприлюдненню.</w:t>
      </w:r>
    </w:p>
    <w:p w:rsidR="00A54BD0" w:rsidRPr="008F4F19" w:rsidRDefault="00A54BD0" w:rsidP="00A54BD0">
      <w:pPr>
        <w:pStyle w:val="af1"/>
        <w:jc w:val="both"/>
        <w:rPr>
          <w:sz w:val="28"/>
          <w:szCs w:val="28"/>
          <w:lang w:val="uk-UA"/>
        </w:rPr>
      </w:pPr>
    </w:p>
    <w:p w:rsidR="005946CE" w:rsidRPr="00C317AA" w:rsidRDefault="00C317AA" w:rsidP="00A54BD0">
      <w:pPr>
        <w:pStyle w:val="af2"/>
        <w:numPr>
          <w:ilvl w:val="0"/>
          <w:numId w:val="17"/>
        </w:numPr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44230">
        <w:rPr>
          <w:rFonts w:ascii="Times New Roman" w:hAnsi="Times New Roman"/>
          <w:sz w:val="28"/>
          <w:szCs w:val="28"/>
          <w:lang w:val="uk-UA"/>
        </w:rPr>
        <w:t>Контроль за виконанням даного розпорядження</w:t>
      </w:r>
      <w:r>
        <w:rPr>
          <w:rFonts w:ascii="Times New Roman" w:hAnsi="Times New Roman"/>
          <w:sz w:val="28"/>
          <w:szCs w:val="28"/>
          <w:lang w:val="uk-UA"/>
        </w:rPr>
        <w:t xml:space="preserve"> покласти на заступника керівника </w:t>
      </w:r>
      <w:r w:rsidRPr="00044230">
        <w:rPr>
          <w:rFonts w:ascii="Times New Roman" w:hAnsi="Times New Roman"/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Максима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Головньова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46CE" w:rsidRPr="008F4F19" w:rsidRDefault="005946CE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A413EC" w:rsidRPr="008F4F19" w:rsidRDefault="00A413EC" w:rsidP="00A54BD0">
      <w:pPr>
        <w:pStyle w:val="af2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8F4F19">
        <w:rPr>
          <w:rFonts w:ascii="Times New Roman" w:hAnsi="Times New Roman"/>
          <w:b/>
          <w:sz w:val="28"/>
          <w:szCs w:val="28"/>
          <w:lang w:val="uk-UA" w:eastAsia="uk-UA"/>
        </w:rPr>
        <w:t>Керівник</w:t>
      </w:r>
      <w:r w:rsidR="00AF40CB" w:rsidRPr="008F4F1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 w:eastAsia="uk-UA"/>
        </w:rPr>
        <w:t>військово-цивільної</w:t>
      </w:r>
      <w:r w:rsidR="00AF40CB" w:rsidRPr="008F4F1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</w:p>
    <w:p w:rsidR="00971EE7" w:rsidRDefault="00A413EC" w:rsidP="00C317AA">
      <w:pPr>
        <w:pStyle w:val="af2"/>
        <w:rPr>
          <w:rFonts w:ascii="Times New Roman" w:hAnsi="Times New Roman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 w:eastAsia="uk-UA"/>
        </w:rPr>
        <w:t>адміністрації</w:t>
      </w:r>
      <w:r w:rsidR="00AF40CB" w:rsidRPr="008F4F19">
        <w:rPr>
          <w:rFonts w:ascii="Times New Roman" w:hAnsi="Times New Roman"/>
          <w:b/>
          <w:sz w:val="28"/>
          <w:szCs w:val="28"/>
          <w:lang w:val="uk-UA" w:eastAsia="uk-UA"/>
        </w:rPr>
        <w:t xml:space="preserve"> </w:t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DF4850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="00A41DE7" w:rsidRPr="008F4F19">
        <w:rPr>
          <w:rFonts w:ascii="Times New Roman" w:hAnsi="Times New Roman"/>
          <w:b/>
          <w:sz w:val="28"/>
          <w:szCs w:val="28"/>
          <w:lang w:val="uk-UA" w:eastAsia="uk-UA"/>
        </w:rPr>
        <w:tab/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Олександр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ЗАЇКА</w:t>
      </w:r>
    </w:p>
    <w:p w:rsidR="00CF4F19" w:rsidRPr="00CF4F19" w:rsidRDefault="00CF4F19" w:rsidP="00C317AA">
      <w:pPr>
        <w:pStyle w:val="af2"/>
        <w:rPr>
          <w:rFonts w:ascii="Times New Roman" w:hAnsi="Times New Roman"/>
          <w:lang w:val="uk-UA"/>
        </w:rPr>
      </w:pPr>
    </w:p>
    <w:p w:rsidR="008C5AA2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lastRenderedPageBreak/>
        <w:t>Додаток</w:t>
      </w:r>
    </w:p>
    <w:p w:rsidR="00B64A24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розпорядження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керівника</w:t>
      </w:r>
    </w:p>
    <w:p w:rsidR="00B64A24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військово-цивільної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адміністрації</w:t>
      </w:r>
    </w:p>
    <w:p w:rsidR="00B64A24" w:rsidRPr="008F4F19" w:rsidRDefault="00B64A24" w:rsidP="00A54BD0">
      <w:pPr>
        <w:pStyle w:val="af2"/>
        <w:ind w:left="4956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міста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Лисичанськ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Луганської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області</w:t>
      </w:r>
    </w:p>
    <w:p w:rsidR="00AB30DA" w:rsidRPr="008F4F19" w:rsidRDefault="00B64A24" w:rsidP="00A54BD0">
      <w:pPr>
        <w:pStyle w:val="af2"/>
        <w:ind w:left="4248" w:firstLine="708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F4F19">
        <w:rPr>
          <w:rFonts w:ascii="Times New Roman" w:hAnsi="Times New Roman"/>
          <w:sz w:val="26"/>
          <w:szCs w:val="26"/>
          <w:lang w:val="uk-UA"/>
        </w:rPr>
        <w:t xml:space="preserve">02.10.2020 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CF4F19">
        <w:rPr>
          <w:rFonts w:ascii="Times New Roman" w:hAnsi="Times New Roman"/>
          <w:sz w:val="26"/>
          <w:szCs w:val="26"/>
          <w:lang w:val="uk-UA"/>
        </w:rPr>
        <w:t>504</w:t>
      </w:r>
    </w:p>
    <w:p w:rsidR="00FD2C7A" w:rsidRPr="008F4F19" w:rsidRDefault="00FD2C7A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B64A24" w:rsidRPr="008F4F19" w:rsidRDefault="00B64A24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Програма</w:t>
      </w:r>
    </w:p>
    <w:p w:rsidR="00BF1073" w:rsidRPr="008F4F19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розвитку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підтримки</w:t>
      </w:r>
    </w:p>
    <w:p w:rsidR="00B64A24" w:rsidRPr="008F4F19" w:rsidRDefault="00BF1073" w:rsidP="00A54BD0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КНП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«</w:t>
      </w:r>
      <w:r w:rsidR="009751F1" w:rsidRPr="008F4F19">
        <w:rPr>
          <w:rFonts w:ascii="Times New Roman" w:hAnsi="Times New Roman"/>
          <w:b/>
          <w:sz w:val="26"/>
          <w:szCs w:val="26"/>
          <w:lang w:val="uk-UA"/>
        </w:rPr>
        <w:t>Міська стоматологічна поліклініка</w:t>
      </w:r>
      <w:r w:rsidR="00E40876" w:rsidRPr="008F4F19">
        <w:rPr>
          <w:rFonts w:ascii="Times New Roman" w:hAnsi="Times New Roman"/>
          <w:b/>
          <w:sz w:val="26"/>
          <w:szCs w:val="26"/>
          <w:lang w:val="uk-UA"/>
        </w:rPr>
        <w:t>»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5946CE">
        <w:rPr>
          <w:rFonts w:ascii="Times New Roman" w:hAnsi="Times New Roman"/>
          <w:b/>
          <w:sz w:val="26"/>
          <w:szCs w:val="26"/>
          <w:lang w:val="uk-UA"/>
        </w:rPr>
        <w:t>2021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sz w:val="26"/>
          <w:szCs w:val="26"/>
          <w:lang w:val="uk-UA"/>
        </w:rPr>
        <w:t>рік</w:t>
      </w:r>
    </w:p>
    <w:p w:rsidR="00360945" w:rsidRPr="008F4F19" w:rsidRDefault="00360945" w:rsidP="00A54BD0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tbl>
      <w:tblPr>
        <w:tblW w:w="9703" w:type="dxa"/>
        <w:tblInd w:w="-1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43" w:type="dxa"/>
        </w:tblCellMar>
        <w:tblLook w:val="04A0" w:firstRow="1" w:lastRow="0" w:firstColumn="1" w:lastColumn="0" w:noHBand="0" w:noVBand="1"/>
      </w:tblPr>
      <w:tblGrid>
        <w:gridCol w:w="736"/>
        <w:gridCol w:w="4033"/>
        <w:gridCol w:w="4934"/>
      </w:tblGrid>
      <w:tr w:rsidR="00A54BD0" w:rsidRPr="00CF4F19" w:rsidTr="00A54BD0">
        <w:trPr>
          <w:trHeight w:val="62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1.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Ініціатор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Відділ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охорони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здоров’я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9751F1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військово-цивільної адміністрації міста Лисичанськ Луганської області</w:t>
            </w:r>
          </w:p>
        </w:tc>
      </w:tr>
      <w:tr w:rsidR="00A54BD0" w:rsidRPr="00CF4F19" w:rsidTr="00A54BD0">
        <w:trPr>
          <w:trHeight w:val="1366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2.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Підстава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розроблення</w:t>
            </w:r>
          </w:p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55520D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Закон України «Про військово-цивільні адміністрації», Закону України «Основи законодавства України про охорону здоров'я», Закон України «Про державні фінансові гарантії медичного обслуговування населення», Бюджетний кодекс України</w:t>
            </w:r>
          </w:p>
        </w:tc>
      </w:tr>
      <w:tr w:rsidR="00A54BD0" w:rsidRPr="00C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3.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Розробник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</w:p>
        </w:tc>
      </w:tr>
      <w:tr w:rsidR="00A54BD0" w:rsidRPr="008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4.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Відповідальний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виконавець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9751F1" w:rsidRPr="008F4F19" w:rsidRDefault="009751F1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Відділ охорони здоров’я військово-цивільної адміністрації міста Лисичанськ Луганської області</w:t>
            </w:r>
            <w:r w:rsidR="007C30FB">
              <w:rPr>
                <w:rFonts w:ascii="Times New Roman" w:hAnsi="Times New Roman"/>
                <w:sz w:val="26"/>
                <w:szCs w:val="26"/>
                <w:lang w:val="uk-UA"/>
              </w:rPr>
              <w:t>,</w:t>
            </w:r>
          </w:p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5.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Учасники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26349C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КНП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«</w:t>
            </w:r>
            <w:r w:rsidR="009751F1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Міська стоматологічна поліклініка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»</w:t>
            </w:r>
          </w:p>
        </w:tc>
      </w:tr>
      <w:tr w:rsidR="00A54BD0" w:rsidRPr="008F4F19" w:rsidTr="00A54BD0">
        <w:trPr>
          <w:trHeight w:val="349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7.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Термін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5946CE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2021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="00A54BD0"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рік</w:t>
            </w:r>
          </w:p>
        </w:tc>
      </w:tr>
      <w:tr w:rsidR="00A54BD0" w:rsidRPr="008F4F19" w:rsidTr="00A54BD0"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8.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8F4F19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Перелік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бюджетів,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які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беруть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участь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у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виконанні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Програми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54BD0" w:rsidRPr="008F4F19" w:rsidRDefault="00A54BD0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Місцевий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бюджет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та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інші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джерела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не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заборонені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чинним</w:t>
            </w:r>
            <w:r w:rsidR="00AF40CB" w:rsidRPr="008F4F19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8F4F19">
              <w:rPr>
                <w:rFonts w:ascii="Times New Roman" w:hAnsi="Times New Roman"/>
                <w:sz w:val="26"/>
                <w:szCs w:val="26"/>
                <w:lang w:val="uk-UA"/>
              </w:rPr>
              <w:t>законодавством</w:t>
            </w:r>
          </w:p>
        </w:tc>
      </w:tr>
      <w:tr w:rsidR="00A54BD0" w:rsidRPr="008F4F19" w:rsidTr="00A54BD0">
        <w:trPr>
          <w:trHeight w:val="942"/>
        </w:trPr>
        <w:tc>
          <w:tcPr>
            <w:tcW w:w="7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BA66DA" w:rsidRDefault="00A54BD0" w:rsidP="005946CE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9.</w:t>
            </w:r>
          </w:p>
        </w:tc>
        <w:tc>
          <w:tcPr>
            <w:tcW w:w="4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  <w:hideMark/>
          </w:tcPr>
          <w:p w:rsidR="00A54BD0" w:rsidRPr="00BA66DA" w:rsidRDefault="00A54BD0" w:rsidP="00541E13">
            <w:pPr>
              <w:pStyle w:val="af2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Загальний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орієнтований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обсяг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фінансових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ресурсів,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необхідних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для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реалізації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Програми,</w:t>
            </w:r>
            <w:r w:rsidR="00AF40CB" w:rsidRPr="00BA66DA">
              <w:rPr>
                <w:rFonts w:ascii="Times New Roman" w:hAnsi="Times New Roman"/>
                <w:sz w:val="26"/>
                <w:szCs w:val="26"/>
                <w:lang w:val="uk-UA"/>
              </w:rPr>
              <w:t xml:space="preserve"> </w:t>
            </w:r>
            <w:r w:rsidRPr="00BA66DA">
              <w:rPr>
                <w:rFonts w:ascii="Times New Roman" w:hAnsi="Times New Roman"/>
                <w:sz w:val="26"/>
                <w:szCs w:val="26"/>
                <w:lang w:val="uk-UA"/>
              </w:rPr>
              <w:t>грн.:</w:t>
            </w:r>
          </w:p>
        </w:tc>
        <w:tc>
          <w:tcPr>
            <w:tcW w:w="4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54BD0" w:rsidRPr="00BA66DA" w:rsidRDefault="00EA1293" w:rsidP="007C30FB">
            <w:pPr>
              <w:pStyle w:val="af2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896 991</w:t>
            </w:r>
          </w:p>
        </w:tc>
      </w:tr>
    </w:tbl>
    <w:p w:rsidR="00A54BD0" w:rsidRPr="008F4F19" w:rsidRDefault="00A54BD0" w:rsidP="00A54BD0">
      <w:pPr>
        <w:pStyle w:val="af2"/>
        <w:rPr>
          <w:rFonts w:ascii="Times New Roman" w:hAnsi="Times New Roman"/>
          <w:b/>
          <w:bCs/>
          <w:sz w:val="26"/>
          <w:szCs w:val="26"/>
          <w:lang w:val="uk-UA"/>
        </w:rPr>
      </w:pPr>
    </w:p>
    <w:p w:rsidR="00A54BD0" w:rsidRPr="008F4F19" w:rsidRDefault="00A54BD0" w:rsidP="00A54BD0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1.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Загальні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положення</w:t>
      </w:r>
    </w:p>
    <w:p w:rsidR="001E625A" w:rsidRPr="008F4F19" w:rsidRDefault="009751F1" w:rsidP="001E625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lang w:val="uk-UA"/>
        </w:rPr>
        <w:tab/>
      </w:r>
      <w:r w:rsidRPr="008F4F19">
        <w:rPr>
          <w:rFonts w:ascii="Times New Roman" w:hAnsi="Times New Roman"/>
          <w:sz w:val="26"/>
          <w:szCs w:val="26"/>
          <w:lang w:val="uk-UA"/>
        </w:rPr>
        <w:t>Одним із пріоритетів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 охороні здоров’я населення визначено на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>дання стоматологічної допомоги.</w:t>
      </w:r>
    </w:p>
    <w:p w:rsidR="001E625A" w:rsidRPr="008F4F19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У КНП «Міська стоматологічна поліклініка» проводиться реалізація заходів спрямованих на підвищення якості та ефективності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надання медичних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стоматологічних послуг, наближення кваліфікованої стоматологічної допомоги до кожного мешканця, поліпшення стоматологічного обслуговування населення, раціонального використання ресурсів охорони здоров'я. </w:t>
      </w:r>
    </w:p>
    <w:p w:rsidR="001E625A" w:rsidRPr="008F4F19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Стоматологічна допомога є на сьогодні частиною спеціалізованої амбулаторної допомоги, тому управління стоматологічною допомогою без застосування економічних важелів практично неможливе.</w:t>
      </w:r>
    </w:p>
    <w:p w:rsidR="007C30FB" w:rsidRDefault="009751F1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Здоров’я людини є непересічною цінністю, має важливе значення у житті кожного з нас, становить ключовий аспект національної безпеки, визначає можливості</w:t>
      </w:r>
      <w:r w:rsidR="007C30FB">
        <w:rPr>
          <w:rFonts w:ascii="Times New Roman" w:hAnsi="Times New Roman"/>
          <w:sz w:val="26"/>
          <w:szCs w:val="26"/>
          <w:lang w:val="uk-UA"/>
        </w:rPr>
        <w:t xml:space="preserve"> </w:t>
      </w:r>
    </w:p>
    <w:p w:rsidR="007C30FB" w:rsidRDefault="007C30FB" w:rsidP="007C30FB">
      <w:pPr>
        <w:pStyle w:val="af1"/>
        <w:ind w:left="7081"/>
        <w:jc w:val="both"/>
        <w:rPr>
          <w:sz w:val="26"/>
          <w:szCs w:val="26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Default="007C30FB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9751F1" w:rsidRPr="008F4F19" w:rsidRDefault="009751F1" w:rsidP="007C30FB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досягнення індивідуального і суспільного добробуту та благополуччя, перспективи стійкого розвитку будь-якої країни в цілому, і кожної територіальної одиниці окремо.</w:t>
      </w:r>
    </w:p>
    <w:p w:rsidR="001E625A" w:rsidRPr="007C30FB" w:rsidRDefault="009751F1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Комунальне некомерційне підприємство Лисичанської міської ради Луганської області «Міська стоматологічна поліклініка» (далі - Підприємство) створено за</w:t>
      </w:r>
      <w:r w:rsidR="007C30FB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рішенням Лисичанської міської ради </w:t>
      </w:r>
      <w:r w:rsidRPr="008F4F19">
        <w:rPr>
          <w:rFonts w:ascii="Times New Roman" w:hAnsi="Times New Roman"/>
          <w:spacing w:val="12"/>
          <w:sz w:val="26"/>
          <w:szCs w:val="26"/>
          <w:lang w:val="uk-UA"/>
        </w:rPr>
        <w:t>від 23.01.2</w:t>
      </w:r>
      <w:r w:rsidR="0055520D" w:rsidRPr="008F4F19">
        <w:rPr>
          <w:rFonts w:ascii="Times New Roman" w:hAnsi="Times New Roman"/>
          <w:spacing w:val="12"/>
          <w:sz w:val="26"/>
          <w:szCs w:val="26"/>
          <w:lang w:val="uk-UA"/>
        </w:rPr>
        <w:t xml:space="preserve">020 №83/1190 «Про організаційні </w:t>
      </w:r>
      <w:r w:rsidRPr="008F4F19">
        <w:rPr>
          <w:rFonts w:ascii="Times New Roman" w:hAnsi="Times New Roman"/>
          <w:spacing w:val="12"/>
          <w:sz w:val="26"/>
          <w:szCs w:val="26"/>
          <w:lang w:val="uk-UA"/>
        </w:rPr>
        <w:t xml:space="preserve">заходи з питань діяльності КНП «Міська стоматологічна поліклініка» </w:t>
      </w:r>
      <w:r w:rsidRPr="008F4F19">
        <w:rPr>
          <w:rFonts w:ascii="Times New Roman" w:hAnsi="Times New Roman"/>
          <w:sz w:val="26"/>
          <w:szCs w:val="26"/>
          <w:lang w:val="uk-UA"/>
        </w:rPr>
        <w:t>шляхом перетворення Лисичанської комунальної лікувально-профілактичної установи «Міська стоматологічна поліклініка» і є правонаступником зазначеного комунального закладу, а також до Закону України «Про державну реєстрацію юридичних осіб та фізичних ос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іб-підприємців» від 29.01.2020. </w:t>
      </w:r>
      <w:r w:rsidRPr="008F4F19">
        <w:rPr>
          <w:rFonts w:ascii="Times New Roman" w:hAnsi="Times New Roman"/>
          <w:sz w:val="26"/>
          <w:szCs w:val="26"/>
          <w:lang w:val="uk-UA"/>
        </w:rPr>
        <w:t>Підприємство є самостійним господарюючим суб’єктом із статусом комунального некомерційного підприємства та наділено усіма правами юридичної особи.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Підприємство має самостійний баланс, здійснює фінансові операції через розрахункові рахунки в Лисичанському Управлінні державної казначейської служби України в Луганській області та розрахунк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 xml:space="preserve">ові рахунки в установах банку. </w:t>
      </w:r>
      <w:r w:rsidRPr="008F4F19">
        <w:rPr>
          <w:rFonts w:ascii="Times New Roman" w:hAnsi="Times New Roman"/>
          <w:sz w:val="26"/>
          <w:szCs w:val="26"/>
          <w:lang w:val="uk-UA"/>
        </w:rPr>
        <w:t>Підприємство здійснює господарську некомерційну діяльність спрямовану на досягнення соціальних та інших результатів у сфері охорони здоров’я, яка не передбачає отримання прибутку згідно з нормами відповідних законів та спрямовану на досягнення, збереження, зміцнення здоров'я населення та інші соціальні результати, приймає участь у виконанні державних і місцевих програм у сфері охорони здоров’я.</w:t>
      </w:r>
    </w:p>
    <w:p w:rsidR="001E625A" w:rsidRPr="008F4F19" w:rsidRDefault="0055520D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 розроблена на підставі Закону України «Про військово-цивільні адміністрації» від 03.02.2015 №141-VIII, Законів України «Основи законодавства України про охорону здоров'я» від 19.11.1992 № 2801-XII, «Про державні фінансові гарантії медичного обслуговування населення» від 19.10.2017 № 2168-VIII, Бюджетним кодексом України від 08.07.2010 №2456-VІ, розпорядженням КМУ «Про схвалення Концепції реформи фінансування системи охорони здоров’я» від 30.11.2016 № 1013-р та інших нормативно-правових актів.</w:t>
      </w:r>
    </w:p>
    <w:p w:rsidR="00A54BD0" w:rsidRPr="008F4F19" w:rsidRDefault="00A54BD0" w:rsidP="001E625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Актуальність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26349C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рограми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зумовлена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необхідністю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поліпшення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якості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="001E625A" w:rsidRPr="008F4F19">
        <w:rPr>
          <w:rFonts w:ascii="Times New Roman" w:hAnsi="Times New Roman"/>
          <w:sz w:val="26"/>
          <w:szCs w:val="26"/>
          <w:lang w:val="uk-UA"/>
        </w:rPr>
        <w:t>спеціалізованої вторинної медичної допомоги, а саме</w:t>
      </w:r>
      <w:r w:rsidR="001E625A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стоматологічної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міст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Лисичанська,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proofErr w:type="spellStart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Привілля,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матеріально-технічної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бази,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підвищення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престижу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медичних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працівників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покращення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їх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соціального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економічного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становища,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забезпечення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надання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планової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та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екстреної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висококваліфікованої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допомоги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дорослому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і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дитячому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населенню.</w:t>
      </w:r>
    </w:p>
    <w:p w:rsidR="00E96861" w:rsidRPr="008F4F19" w:rsidRDefault="00A54BD0" w:rsidP="00AF40C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впровадження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реформування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(автоматизація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робочих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місць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усіх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лікарів,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забезпечення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їх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медичною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інформаційною</w:t>
      </w:r>
    </w:p>
    <w:p w:rsidR="00A54BD0" w:rsidRPr="008F4F19" w:rsidRDefault="00A54BD0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системою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приєднанням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D4AA4" w:rsidRPr="008F4F19">
        <w:rPr>
          <w:rFonts w:ascii="Times New Roman" w:hAnsi="Times New Roman"/>
          <w:sz w:val="26"/>
          <w:szCs w:val="26"/>
          <w:lang w:val="uk-UA"/>
        </w:rPr>
        <w:t>Інтернет-мережі</w:t>
      </w:r>
      <w:r w:rsidRPr="008F4F19">
        <w:rPr>
          <w:rFonts w:ascii="Times New Roman" w:hAnsi="Times New Roman"/>
          <w:sz w:val="26"/>
          <w:szCs w:val="26"/>
          <w:lang w:val="uk-UA"/>
        </w:rPr>
        <w:t>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забезпечення</w:t>
      </w:r>
      <w:r w:rsidR="00AF40CB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можливості</w:t>
      </w:r>
      <w:r w:rsidR="00AF40CB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надання</w:t>
      </w:r>
      <w:r w:rsidR="00AF40CB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proofErr w:type="spellStart"/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телемедичних</w:t>
      </w:r>
      <w:proofErr w:type="spellEnd"/>
      <w:r w:rsidR="000C5C80"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bCs/>
          <w:color w:val="000000"/>
          <w:sz w:val="26"/>
          <w:szCs w:val="26"/>
          <w:lang w:val="uk-UA"/>
        </w:rPr>
        <w:t>послуг</w:t>
      </w:r>
      <w:r w:rsidRPr="008F4F19">
        <w:rPr>
          <w:rFonts w:ascii="Times New Roman" w:hAnsi="Times New Roman"/>
          <w:sz w:val="26"/>
          <w:szCs w:val="26"/>
          <w:lang w:val="uk-UA"/>
        </w:rPr>
        <w:t>),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нестачу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субвенції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державного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бюджету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необхідність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зобов’язань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виплати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заробітної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плати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працівникам,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розрахунків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енергоносії,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покращення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матеріально-технічної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бази,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виникає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гостра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потреба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 xml:space="preserve">Підприємству </w:t>
      </w:r>
      <w:r w:rsidR="0026349C" w:rsidRPr="008F4F19">
        <w:rPr>
          <w:rFonts w:ascii="Times New Roman" w:hAnsi="Times New Roman"/>
          <w:sz w:val="26"/>
          <w:szCs w:val="26"/>
          <w:lang w:val="uk-UA"/>
        </w:rPr>
        <w:t>за рахунок коштів місцевого бюджету.</w:t>
      </w:r>
    </w:p>
    <w:p w:rsidR="00446507" w:rsidRPr="008F4F19" w:rsidRDefault="00446507" w:rsidP="00E96861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8F4F19" w:rsidRDefault="00446507" w:rsidP="00446507">
      <w:pPr>
        <w:pStyle w:val="af2"/>
        <w:jc w:val="center"/>
        <w:rPr>
          <w:rFonts w:ascii="Times New Roman" w:hAnsi="Times New Roman"/>
          <w:b/>
          <w:sz w:val="26"/>
          <w:szCs w:val="26"/>
          <w:lang w:val="uk-UA" w:eastAsia="ru-RU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 xml:space="preserve">2. </w:t>
      </w:r>
      <w:r w:rsidRPr="008F4F19">
        <w:rPr>
          <w:rFonts w:ascii="Times New Roman" w:hAnsi="Times New Roman"/>
          <w:b/>
          <w:sz w:val="26"/>
          <w:szCs w:val="26"/>
          <w:bdr w:val="none" w:sz="0" w:space="0" w:color="auto" w:frame="1"/>
          <w:lang w:val="uk-UA"/>
        </w:rPr>
        <w:t>Проблеми, на розв’язання яких спрямована Програма, шляхи та способи їх розв’язання</w:t>
      </w:r>
    </w:p>
    <w:p w:rsidR="00446507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Стоматологічне здоров’я населення починається з профілактики захворювань порожнини рота та формування у людини здорового образу життя.</w:t>
      </w: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7C30FB" w:rsidRPr="007C30FB" w:rsidRDefault="007C30FB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Pr="008F4F19" w:rsidRDefault="007C30FB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446507" w:rsidRPr="008F4F19" w:rsidRDefault="00446507" w:rsidP="0044650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Існуючі проблеми в стоматологічній галузі торкаються не тільки взаємовідносин пацієнта та лікаря, а і мають набагато більший характер. Це натякає нас на більш глибший підхід до аналізу, розробки і реалізації нових стратегій та програм в стоматологічній галузі.</w:t>
      </w:r>
    </w:p>
    <w:p w:rsidR="00446507" w:rsidRPr="008F4F19" w:rsidRDefault="00446507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Реформи, які проводяться у сфері охорони здоров’я, торкають і стоматологічну поліклініку м. Лисичанськ. Насамперед потрібно значно підняти рівень матеріально-технічного оснащення лікувального та діагностичного процесу, забезпечити сучасними стоматологічними матеріалами та обладна</w:t>
      </w:r>
      <w:r w:rsidR="007C30FB">
        <w:rPr>
          <w:rFonts w:ascii="Times New Roman" w:hAnsi="Times New Roman"/>
          <w:sz w:val="26"/>
          <w:szCs w:val="26"/>
          <w:lang w:val="uk-UA"/>
        </w:rPr>
        <w:t xml:space="preserve">нням, створити істотні умови як </w:t>
      </w:r>
      <w:r w:rsidRPr="008F4F19">
        <w:rPr>
          <w:rFonts w:ascii="Times New Roman" w:hAnsi="Times New Roman"/>
          <w:sz w:val="26"/>
          <w:szCs w:val="26"/>
          <w:lang w:val="uk-UA"/>
        </w:rPr>
        <w:t>для медичного персоналу, так і для пацієнтів, впровадити сучасні інформаційно-технічні засоби для поліпшення надання стоматологічної допомоги населенню.</w:t>
      </w:r>
      <w:r w:rsidRPr="008F4F19">
        <w:rPr>
          <w:sz w:val="26"/>
          <w:szCs w:val="26"/>
          <w:lang w:val="uk-UA"/>
        </w:rPr>
        <w:t xml:space="preserve"> </w:t>
      </w:r>
    </w:p>
    <w:p w:rsidR="00446507" w:rsidRPr="008F4F19" w:rsidRDefault="00446507" w:rsidP="00446507">
      <w:pPr>
        <w:ind w:left="709"/>
        <w:jc w:val="both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Основними шляхами розв’язання проблем є: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насамперед пріоритетний підхід до проблем дитячої стоматології;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найскоріший перехід до сучасних методів обробки інформації щодо діяльності стоматологічної поліклініки;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впровадження сучасних цифрових технологій в діагностичному лікувально-профілактичному процесі;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підвищення фаховості, кадрового забезпечення, рівня професіональної підготовки медичного персоналу стоматологічної поліклініки;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проведення ранньої діагностики захворювань порожнини рота шляхом впровадження поетапної децентралізації планових оглядів у дошкільних та шкільних учбових закладах;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щільне дотримання санітарно-гігієнічних та </w:t>
      </w:r>
      <w:proofErr w:type="spellStart"/>
      <w:r w:rsidRPr="008F4F19">
        <w:rPr>
          <w:sz w:val="26"/>
          <w:szCs w:val="26"/>
          <w:lang w:val="uk-UA"/>
        </w:rPr>
        <w:t>противоепідемічних</w:t>
      </w:r>
      <w:proofErr w:type="spellEnd"/>
      <w:r w:rsidRPr="008F4F19">
        <w:rPr>
          <w:sz w:val="26"/>
          <w:szCs w:val="26"/>
          <w:lang w:val="uk-UA"/>
        </w:rPr>
        <w:t xml:space="preserve"> норм та правил;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соціального захисту працівників стоматологічної поліклініки;</w:t>
      </w:r>
    </w:p>
    <w:p w:rsidR="00446507" w:rsidRPr="008F4F19" w:rsidRDefault="00446507" w:rsidP="00D9008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підвищення ефективності санітарно-освітньої роботи та пропаганди здорового способу життя з широким використанням сучасних технологій та засобів масової інформації.</w:t>
      </w:r>
    </w:p>
    <w:p w:rsidR="00A54BD0" w:rsidRPr="008F4F19" w:rsidRDefault="00A54BD0" w:rsidP="00A54BD0">
      <w:pPr>
        <w:pStyle w:val="af2"/>
        <w:rPr>
          <w:rFonts w:ascii="Times New Roman" w:hAnsi="Times New Roman"/>
          <w:sz w:val="26"/>
          <w:szCs w:val="26"/>
          <w:lang w:val="uk-UA"/>
        </w:rPr>
      </w:pPr>
    </w:p>
    <w:p w:rsidR="00A54BD0" w:rsidRPr="008F4F19" w:rsidRDefault="00446507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3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Мета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завдання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1E625A" w:rsidRPr="008F4F19" w:rsidRDefault="001E625A" w:rsidP="001E625A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Мета Програми полягає у досягненні максимального забезпечення медичних стоматологічних послуг та надання висококваліфікованої спеціалізованої стоматологічної допомоги, яка спрямована на збереження, поліпшення та відновлення здоров’я, консультативно-діагностичної допомоги хворим, включаючи широкий спектр профілактичних і лікувальних заходів. </w:t>
      </w:r>
    </w:p>
    <w:p w:rsidR="001E625A" w:rsidRPr="008F4F19" w:rsidRDefault="001E625A" w:rsidP="001E625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Відповідно до поставленої мети завданням діяльності є: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медичної практики;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надання терапевтичної, хірургічної, </w:t>
      </w:r>
      <w:proofErr w:type="spellStart"/>
      <w:r w:rsidRPr="008F4F19">
        <w:rPr>
          <w:sz w:val="26"/>
          <w:szCs w:val="26"/>
          <w:lang w:val="uk-UA"/>
        </w:rPr>
        <w:t>ортодонтичної</w:t>
      </w:r>
      <w:proofErr w:type="spellEnd"/>
      <w:r w:rsidRPr="008F4F19">
        <w:rPr>
          <w:sz w:val="26"/>
          <w:szCs w:val="26"/>
          <w:lang w:val="uk-UA"/>
        </w:rPr>
        <w:t>, ортопедичної стоматологічної допомоги дорослому та дитячому населенню;</w:t>
      </w:r>
    </w:p>
    <w:p w:rsidR="001E625A" w:rsidRPr="008F4F19" w:rsidRDefault="001E625A" w:rsidP="001E625A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організація взаємодії з іншими закладами охорони здоров’я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екстреної стоматологічної допомоги, необхідної профілактики, діагностики та лікування зубів згідно чинного законодавства України;</w:t>
      </w:r>
    </w:p>
    <w:p w:rsidR="001E625A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створення економічних, матеріально-технічних та соціальних умов для підвищення якості, обсягів та доступності стоматологічної допомоги населенню;</w:t>
      </w:r>
    </w:p>
    <w:p w:rsidR="007C30FB" w:rsidRDefault="007C30FB" w:rsidP="007C30F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7C30FB" w:rsidRPr="007C30FB" w:rsidRDefault="007C30FB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Pr="007C30FB" w:rsidRDefault="007C30FB" w:rsidP="007C30FB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  <w:lang w:val="uk-UA"/>
        </w:rPr>
      </w:pP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впровадження в практику сучасних методів діагностики та лікування, застосування новітньої медичної техніки і медичного обладнання, лікарських засобів;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своєчасної госпіталізації хворих, які потребують стаціонарного лікування;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якісної експертизи тимчасової непрацездатності хворих, видача листків непрацездатності, направлення на МСЕК пацієнтів з ознаками стійкої втрати працездатності;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участь у проведенні інформаційної та </w:t>
      </w:r>
      <w:proofErr w:type="spellStart"/>
      <w:r w:rsidRPr="008F4F19">
        <w:rPr>
          <w:sz w:val="26"/>
          <w:szCs w:val="26"/>
          <w:lang w:val="uk-UA"/>
        </w:rPr>
        <w:t>освітньо</w:t>
      </w:r>
      <w:proofErr w:type="spellEnd"/>
      <w:r w:rsidRPr="008F4F19">
        <w:rPr>
          <w:sz w:val="26"/>
          <w:szCs w:val="26"/>
          <w:lang w:val="uk-UA"/>
        </w:rPr>
        <w:t>-роз’яснювальної роботи серед населення, щодо формування здорового способу життя та здійснення заходів з профілактики стоматологічних захворювань;</w:t>
      </w:r>
    </w:p>
    <w:p w:rsidR="00D9008A" w:rsidRPr="007C30FB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забезпечення умов з проведення спеціалізації та підвищення кваліфікації лікарів та молодших спеціалістів з медичною освітою, укомплектування ними структурних підрозділів, підготовка кадрового резерву;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здійснення заходів матеріального стимулювання медичних та інших працівників;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організація надання населенню стоматологічної допомоги більш високого рівня, спеціалізації на базі закладів охорони здоров’я шляхом спрямування пацієнтів до цих закладів в порядку, встановленому законодавством;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забезпечення права громадян на вільний вибір лікаря, у визначеному законодавством порядку;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закупівля, зберігання та використання ресурсів, необхідних для надання стоматологічних медичних послуг, зокрема медичних стоматологічних засобів, обладнання та інвентарю;</w:t>
      </w:r>
    </w:p>
    <w:p w:rsidR="001E625A" w:rsidRPr="008F4F19" w:rsidRDefault="001E625A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 xml:space="preserve">забезпечення лікарів медичною інформаційною системою та під’єднанням до Інтернет-мережі, забезпечення можливості надання </w:t>
      </w:r>
      <w:proofErr w:type="spellStart"/>
      <w:r w:rsidRPr="008F4F19">
        <w:rPr>
          <w:sz w:val="26"/>
          <w:szCs w:val="26"/>
          <w:lang w:val="uk-UA"/>
        </w:rPr>
        <w:t>телемедичних</w:t>
      </w:r>
      <w:proofErr w:type="spellEnd"/>
      <w:r w:rsidRPr="008F4F19">
        <w:rPr>
          <w:sz w:val="26"/>
          <w:szCs w:val="26"/>
          <w:lang w:val="uk-UA"/>
        </w:rPr>
        <w:t xml:space="preserve"> послуг.</w:t>
      </w:r>
    </w:p>
    <w:p w:rsidR="00915347" w:rsidRPr="008F4F19" w:rsidRDefault="00915347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D9008A" w:rsidRPr="008F4F19" w:rsidRDefault="00D9008A" w:rsidP="00D9008A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4. Заходи, спрямовані на реалізацію Програми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Реалізація завдань вимагає об’єднання зусиль військово-цивільної адміністрації міста Лисичанськ Луганської області, керівників підприємств, установ, організацій, що здійснюють діяльність на території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міст Лисичанська, </w:t>
      </w:r>
      <w:proofErr w:type="spellStart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Новодружеська</w:t>
      </w:r>
      <w:proofErr w:type="spellEnd"/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, Привілля,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  шляхом реалізації наступних заходів: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підвищення мотивації праці медичних працівників, забезпечення виплати заробітної плати та нарахувань на неї в повному обсязі;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 w:eastAsia="ru-RU"/>
        </w:rPr>
        <w:t>організація пільгового зубного протезування в межах виділених коштів з бюджету у порядку визначеному законодавством України;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придбання предметів, матеріалів для потреб підприємства; 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680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оплати послуг, в тому числі комунальних послуг та енергоносіїв; </w:t>
      </w:r>
    </w:p>
    <w:p w:rsidR="00D9008A" w:rsidRPr="008F4F19" w:rsidRDefault="00D9008A" w:rsidP="00915347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удосконалення матеріально-технічної бази підприємства відповідно до світових стандартів, запровадження правових, економічних, управлінських механізмів, забезпечення конституційних прав громадян на охорону здоров’я, а саме оснащення структурних підрозділів закладу медичною апаратурою, обладнанням та інструментарієм відповідно до табеля оснащення.</w:t>
      </w:r>
    </w:p>
    <w:p w:rsidR="00D9008A" w:rsidRDefault="00D9008A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C30FB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7C30FB" w:rsidRDefault="007C30FB" w:rsidP="007C30FB">
      <w:pPr>
        <w:pStyle w:val="af1"/>
        <w:ind w:left="7081"/>
        <w:jc w:val="both"/>
        <w:rPr>
          <w:sz w:val="26"/>
          <w:szCs w:val="26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Pr="008F4F19" w:rsidRDefault="007C30FB" w:rsidP="00D9008A">
      <w:pPr>
        <w:pStyle w:val="af2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D9008A" w:rsidRPr="008F4F19" w:rsidRDefault="00D9008A" w:rsidP="00D9008A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5. Обсяг та джерела фінансування Програми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Фінансове забезпечення Програми здійснюється відповідно до законодавства України за рахунок</w:t>
      </w:r>
      <w:r w:rsidRPr="008F4F19">
        <w:rPr>
          <w:rFonts w:ascii="Times New Roman" w:hAnsi="Times New Roman"/>
          <w:bCs/>
          <w:sz w:val="26"/>
          <w:szCs w:val="26"/>
          <w:lang w:val="uk-UA"/>
        </w:rPr>
        <w:t>: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фінансування з місцевого бюджету з використанням програмно-цільового методу (за бюджетною програмою);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коштів, отриманих від надання підприємством платних послуг; </w:t>
      </w:r>
    </w:p>
    <w:p w:rsidR="00D9008A" w:rsidRPr="008F4F19" w:rsidRDefault="00D9008A" w:rsidP="00D9008A">
      <w:pPr>
        <w:pStyle w:val="af2"/>
        <w:numPr>
          <w:ilvl w:val="0"/>
          <w:numId w:val="19"/>
        </w:numPr>
        <w:ind w:left="0" w:firstLine="709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інших джерел фінансування не заборонених законодавством України.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Підприємство </w:t>
      </w:r>
      <w:r w:rsidRPr="008F4F19">
        <w:rPr>
          <w:rFonts w:ascii="Times New Roman" w:hAnsi="Times New Roman"/>
          <w:sz w:val="26"/>
          <w:szCs w:val="26"/>
          <w:lang w:val="uk-UA"/>
        </w:rPr>
        <w:t>включено до мережі головного розпорядника бюджетних коштів відділу охорони здоров’я військово-цивільної адміністрації міста Лисичанськ Луганської області та використовує виділені кошти згідно з планом використання.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Кошти, отримані за результатами діяльності, використовуються Підприємством на виконання запланованих заходів Програми. Виконання Програми у повному обсязі можливе лише за умови стабільного фінансування її складових.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Обсяг фінансування Програми визначається щороку, виходячи з конкретних завдань та реальних можливостей.</w:t>
      </w:r>
    </w:p>
    <w:p w:rsidR="00D9008A" w:rsidRPr="008F4F19" w:rsidRDefault="00D9008A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 xml:space="preserve">Фінансова підтримка є безповоротною. </w:t>
      </w:r>
      <w:r w:rsidRPr="008F4F19">
        <w:rPr>
          <w:rFonts w:ascii="Times New Roman" w:hAnsi="Times New Roman"/>
          <w:color w:val="373737"/>
          <w:sz w:val="26"/>
          <w:szCs w:val="26"/>
          <w:lang w:val="uk-UA"/>
        </w:rPr>
        <w:t>Обсяги фінансування Програми шляхом нада</w:t>
      </w:r>
      <w:r w:rsidR="005946CE">
        <w:rPr>
          <w:rFonts w:ascii="Times New Roman" w:hAnsi="Times New Roman"/>
          <w:color w:val="373737"/>
          <w:sz w:val="26"/>
          <w:szCs w:val="26"/>
          <w:lang w:val="uk-UA"/>
        </w:rPr>
        <w:t>ння фінансової підтримки на 2021</w:t>
      </w:r>
      <w:r w:rsidRPr="008F4F19">
        <w:rPr>
          <w:rFonts w:ascii="Times New Roman" w:hAnsi="Times New Roman"/>
          <w:color w:val="373737"/>
          <w:sz w:val="26"/>
          <w:szCs w:val="26"/>
          <w:lang w:val="uk-UA"/>
        </w:rPr>
        <w:t xml:space="preserve"> рік</w:t>
      </w:r>
      <w:r w:rsidRPr="008F4F19">
        <w:rPr>
          <w:rFonts w:ascii="Times New Roman" w:hAnsi="Times New Roman"/>
          <w:sz w:val="26"/>
          <w:szCs w:val="26"/>
          <w:lang w:val="uk-UA"/>
        </w:rPr>
        <w:t xml:space="preserve"> наведені в планах заходів цієї Програми.</w:t>
      </w:r>
    </w:p>
    <w:p w:rsidR="00D9008A" w:rsidRPr="008F4F19" w:rsidRDefault="00D9008A" w:rsidP="00915347">
      <w:pPr>
        <w:pStyle w:val="af2"/>
        <w:rPr>
          <w:rFonts w:ascii="Times New Roman" w:hAnsi="Times New Roman"/>
          <w:b/>
          <w:sz w:val="26"/>
          <w:szCs w:val="26"/>
          <w:lang w:val="uk-UA"/>
        </w:rPr>
      </w:pPr>
    </w:p>
    <w:p w:rsidR="00915347" w:rsidRPr="008F4F19" w:rsidRDefault="00D9008A" w:rsidP="00915347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sz w:val="26"/>
          <w:szCs w:val="26"/>
          <w:lang w:val="uk-UA"/>
        </w:rPr>
        <w:t>6</w:t>
      </w:r>
      <w:r w:rsidR="00915347" w:rsidRPr="008F4F19">
        <w:rPr>
          <w:rFonts w:ascii="Times New Roman" w:hAnsi="Times New Roman"/>
          <w:b/>
          <w:bCs/>
          <w:sz w:val="26"/>
          <w:szCs w:val="26"/>
          <w:lang w:val="uk-UA"/>
        </w:rPr>
        <w:t>. Очікувані результати та ефективність Програми</w:t>
      </w:r>
    </w:p>
    <w:p w:rsidR="00915347" w:rsidRPr="008F4F19" w:rsidRDefault="00915347" w:rsidP="00915347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Виконання заходів Програми сприятиме: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створити сучасну, якісну, доступну систему надання висококваліфікованої стоматологічної  допомоги;</w:t>
      </w:r>
    </w:p>
    <w:p w:rsidR="00446507" w:rsidRPr="008F4F19" w:rsidRDefault="0044650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забезпечення вчасного та безперебійного стоматологічного обслуговування населення;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збільшити доступність стоматологічної  допомоги, що надається лікарями-стоматологами, до всіх верст населення;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запровадити ефективну систему багатоканального фінансування на стоматологічну допомогу;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покращити якість профілактики та лікування стоматологічних захворювань у дитячого населення міста;</w:t>
      </w:r>
    </w:p>
    <w:p w:rsidR="0044650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досягнення мети щодо збереження надання високоякісних стоматологічних послуг;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покращенню матеріально-технічної бази підприємства шляхом забезпечення амбулаторних та стаціонарних підрозділів  закладу медичною апаратурою,  обладнанням та інструментарієм відповідно до табеля оснащення затвердженого Наказом Міністерства охорони здоров’я України від 02.03.2011 № 127 «Про затвердження Примірних табелів оснащення медичною технікою та виробами медичного призначення центральної районної (районної) та центральної міської (міської) лікарень»;</w:t>
      </w:r>
    </w:p>
    <w:p w:rsidR="00915347" w:rsidRPr="008F4F19" w:rsidRDefault="00915347" w:rsidP="00446507">
      <w:pPr>
        <w:pStyle w:val="af1"/>
        <w:numPr>
          <w:ilvl w:val="0"/>
          <w:numId w:val="23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sz w:val="26"/>
          <w:szCs w:val="26"/>
          <w:lang w:val="uk-UA"/>
        </w:rPr>
      </w:pPr>
      <w:r w:rsidRPr="008F4F19">
        <w:rPr>
          <w:sz w:val="26"/>
          <w:szCs w:val="26"/>
          <w:lang w:val="uk-UA"/>
        </w:rPr>
        <w:t>забезпеченню оптимального температурного режиму та інших умов згідно санітарних вимог для оптимального перебування пацієнтів та роботи медичного персоналу в структурних підрозділах КНП.</w:t>
      </w:r>
    </w:p>
    <w:p w:rsidR="00D9008A" w:rsidRDefault="00D9008A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7C30FB" w:rsidRDefault="007C30FB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7C30FB" w:rsidRDefault="007C30FB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7C30FB" w:rsidRDefault="007C30FB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7C30FB" w:rsidRDefault="007C30FB" w:rsidP="007C30FB">
      <w:pPr>
        <w:pStyle w:val="af1"/>
        <w:ind w:left="7081"/>
        <w:jc w:val="both"/>
        <w:rPr>
          <w:b/>
          <w:bCs/>
          <w:color w:val="000000"/>
          <w:sz w:val="26"/>
          <w:szCs w:val="26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Pr="008F4F19" w:rsidRDefault="007C30FB" w:rsidP="007C30FB">
      <w:pPr>
        <w:pStyle w:val="af2"/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</w:pPr>
    </w:p>
    <w:p w:rsidR="00A54BD0" w:rsidRPr="008F4F19" w:rsidRDefault="00A752F2" w:rsidP="00A752F2">
      <w:pPr>
        <w:pStyle w:val="af2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7</w:t>
      </w:r>
      <w:r w:rsidR="00A54BD0" w:rsidRPr="008F4F1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bCs/>
          <w:color w:val="000000"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Координація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контроль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за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ходом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b/>
          <w:bCs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bCs/>
          <w:sz w:val="26"/>
          <w:szCs w:val="26"/>
          <w:lang w:val="uk-UA"/>
        </w:rPr>
        <w:t>Програми</w:t>
      </w:r>
    </w:p>
    <w:p w:rsidR="003B5609" w:rsidRPr="008F4F1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Реалізація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заходів,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передбачених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Програмою,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покладається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Підприємство.</w:t>
      </w:r>
    </w:p>
    <w:p w:rsidR="003B5609" w:rsidRPr="008F4F1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Координацію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контроль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ходом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>«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 xml:space="preserve">розвитку та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підтримки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>КНП</w:t>
      </w:r>
      <w:r w:rsidR="00AF40CB" w:rsidRPr="008F4F19">
        <w:rPr>
          <w:rFonts w:ascii="Times New Roman" w:hAnsi="Times New Roman"/>
          <w:color w:val="000000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«</w:t>
      </w:r>
      <w:r w:rsidR="003B5609" w:rsidRPr="008F4F19">
        <w:rPr>
          <w:rFonts w:ascii="Times New Roman" w:hAnsi="Times New Roman"/>
          <w:sz w:val="26"/>
          <w:szCs w:val="26"/>
          <w:lang w:val="uk-UA"/>
        </w:rPr>
        <w:t>Міська стоматологічна поліклініка</w:t>
      </w:r>
      <w:r w:rsidRPr="008F4F19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рік</w:t>
      </w:r>
      <w:r w:rsidR="003F048C" w:rsidRPr="008F4F19">
        <w:rPr>
          <w:rFonts w:ascii="Times New Roman" w:hAnsi="Times New Roman"/>
          <w:sz w:val="26"/>
          <w:szCs w:val="26"/>
          <w:lang w:val="uk-UA"/>
        </w:rPr>
        <w:t>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здійснює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здоров’я</w:t>
      </w:r>
      <w:r w:rsidR="003B5609" w:rsidRPr="008F4F19">
        <w:rPr>
          <w:rFonts w:ascii="Times New Roman" w:hAnsi="Times New Roman"/>
          <w:sz w:val="26"/>
          <w:szCs w:val="26"/>
          <w:lang w:val="uk-UA"/>
        </w:rPr>
        <w:t xml:space="preserve"> військово-цивільної адміністрації міста Лисичанськ Луганської області.</w:t>
      </w:r>
    </w:p>
    <w:p w:rsidR="00A54BD0" w:rsidRPr="008F4F19" w:rsidRDefault="00A54BD0" w:rsidP="003B5609">
      <w:pPr>
        <w:pStyle w:val="af2"/>
        <w:ind w:firstLine="708"/>
        <w:jc w:val="both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Відділ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охорони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здоров’я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3B5609" w:rsidRPr="008F4F19">
        <w:rPr>
          <w:rFonts w:ascii="Times New Roman" w:hAnsi="Times New Roman"/>
          <w:sz w:val="26"/>
          <w:szCs w:val="26"/>
          <w:lang w:val="uk-UA"/>
        </w:rPr>
        <w:t>військово-цивільної адміністрації міста Лисичанськ Луганської області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проводить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аналіз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результатів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фінансово-господарської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діяльності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73059A" w:rsidRPr="008F4F19">
        <w:rPr>
          <w:rFonts w:ascii="Times New Roman" w:hAnsi="Times New Roman"/>
          <w:sz w:val="26"/>
          <w:szCs w:val="26"/>
          <w:lang w:val="uk-UA"/>
        </w:rPr>
        <w:t>П</w:t>
      </w:r>
      <w:r w:rsidRPr="008F4F19">
        <w:rPr>
          <w:rFonts w:ascii="Times New Roman" w:hAnsi="Times New Roman"/>
          <w:sz w:val="26"/>
          <w:szCs w:val="26"/>
          <w:lang w:val="uk-UA"/>
        </w:rPr>
        <w:t>ідприємства,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стану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ефективності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використання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бюджетних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коштів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пропозиції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щодо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коригування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суми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допомоги.</w:t>
      </w:r>
    </w:p>
    <w:p w:rsidR="003F048C" w:rsidRPr="008F4F19" w:rsidRDefault="00A54BD0" w:rsidP="00D9008A">
      <w:pPr>
        <w:pStyle w:val="af2"/>
        <w:ind w:firstLine="708"/>
        <w:jc w:val="both"/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</w:pP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При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необхідності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коригування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неї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можуть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бути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внесені</w:t>
      </w:r>
      <w:r w:rsidR="00AF40CB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 xml:space="preserve"> </w:t>
      </w:r>
      <w:r w:rsidR="00D9008A" w:rsidRPr="008F4F19">
        <w:rPr>
          <w:rFonts w:ascii="Times New Roman" w:hAnsi="Times New Roman"/>
          <w:sz w:val="26"/>
          <w:szCs w:val="26"/>
          <w:bdr w:val="none" w:sz="0" w:space="0" w:color="auto" w:frame="1"/>
          <w:lang w:val="uk-UA"/>
        </w:rPr>
        <w:t>зміни.</w:t>
      </w:r>
    </w:p>
    <w:p w:rsidR="003F048C" w:rsidRPr="008F4F19" w:rsidRDefault="003F048C" w:rsidP="003F048C">
      <w:pPr>
        <w:pStyle w:val="af2"/>
        <w:ind w:left="6372" w:firstLine="708"/>
        <w:rPr>
          <w:rFonts w:ascii="Times New Roman" w:hAnsi="Times New Roman"/>
          <w:color w:val="000000"/>
          <w:sz w:val="26"/>
          <w:szCs w:val="26"/>
          <w:lang w:val="uk-UA"/>
        </w:rPr>
      </w:pPr>
    </w:p>
    <w:p w:rsidR="00A54BD0" w:rsidRPr="008F4F19" w:rsidRDefault="00A752F2" w:rsidP="00A752F2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8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Прикінцеві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положення</w:t>
      </w:r>
    </w:p>
    <w:p w:rsidR="00A54BD0" w:rsidRPr="008F4F19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визначає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мету,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шляхи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розвитку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надання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медичної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допомоги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5946CE">
        <w:rPr>
          <w:rFonts w:ascii="Times New Roman" w:hAnsi="Times New Roman"/>
          <w:sz w:val="26"/>
          <w:szCs w:val="26"/>
          <w:lang w:val="uk-UA"/>
        </w:rPr>
        <w:t>2021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враховуючи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стратегічні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завдання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прогнозовані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обсяги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забезпечення.</w:t>
      </w:r>
    </w:p>
    <w:p w:rsidR="00A54BD0" w:rsidRPr="008F4F19" w:rsidRDefault="00A54BD0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відкритий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характер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може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доповнюватись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(змінюватись)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установленому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чинним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законодавством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порядку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залежності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від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поточного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моменту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(прийняття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нових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нормативних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актів,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затвердження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доповнення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регіональних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змінних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фінансово-господарських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громади).</w:t>
      </w:r>
    </w:p>
    <w:p w:rsidR="00D9008A" w:rsidRPr="007C30FB" w:rsidRDefault="00A54BD0" w:rsidP="007C30FB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 w:rsidRPr="008F4F19">
        <w:rPr>
          <w:rFonts w:ascii="Times New Roman" w:hAnsi="Times New Roman"/>
          <w:sz w:val="26"/>
          <w:szCs w:val="26"/>
          <w:lang w:val="uk-UA"/>
        </w:rPr>
        <w:t>Програма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розрахована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1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рік,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має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завдання,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які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направлені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виконання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заходів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адаптованих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потреб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можливостей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міста,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реалізація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Програми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буде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здійснюватися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шляхом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співпраці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медичного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закладу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вторинного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рівня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та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4313E" w:rsidRPr="008F4F19">
        <w:rPr>
          <w:rFonts w:ascii="Times New Roman" w:hAnsi="Times New Roman"/>
          <w:sz w:val="26"/>
          <w:szCs w:val="26"/>
          <w:lang w:val="uk-UA"/>
        </w:rPr>
        <w:t xml:space="preserve">військово-цивільної організації міста Лисичанськ Луганської області </w:t>
      </w:r>
      <w:r w:rsidRPr="008F4F19">
        <w:rPr>
          <w:rFonts w:ascii="Times New Roman" w:hAnsi="Times New Roman"/>
          <w:sz w:val="26"/>
          <w:szCs w:val="26"/>
          <w:lang w:val="uk-UA"/>
        </w:rPr>
        <w:t>у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визначених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напрямках</w:t>
      </w:r>
      <w:r w:rsidR="00AF40CB" w:rsidRPr="008F4F19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8F4F19">
        <w:rPr>
          <w:rFonts w:ascii="Times New Roman" w:hAnsi="Times New Roman"/>
          <w:sz w:val="26"/>
          <w:szCs w:val="26"/>
          <w:lang w:val="uk-UA"/>
        </w:rPr>
        <w:t>діяльності.</w:t>
      </w:r>
    </w:p>
    <w:p w:rsidR="00D9008A" w:rsidRPr="008F4F19" w:rsidRDefault="00D9008A" w:rsidP="00A752F2">
      <w:pPr>
        <w:pStyle w:val="af2"/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A06076" w:rsidRPr="008F4F19" w:rsidRDefault="00A752F2" w:rsidP="00D4313E">
      <w:pPr>
        <w:pStyle w:val="af2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8F4F19">
        <w:rPr>
          <w:rFonts w:ascii="Times New Roman" w:hAnsi="Times New Roman"/>
          <w:b/>
          <w:sz w:val="26"/>
          <w:szCs w:val="26"/>
          <w:lang w:val="uk-UA"/>
        </w:rPr>
        <w:t>9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.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План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заходів</w:t>
      </w:r>
      <w:r w:rsidR="00AF40CB" w:rsidRPr="008F4F19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 w:rsidR="00A54BD0" w:rsidRPr="008F4F19">
        <w:rPr>
          <w:rFonts w:ascii="Times New Roman" w:hAnsi="Times New Roman"/>
          <w:b/>
          <w:sz w:val="26"/>
          <w:szCs w:val="26"/>
          <w:lang w:val="uk-UA"/>
        </w:rPr>
        <w:t>програми</w:t>
      </w:r>
    </w:p>
    <w:tbl>
      <w:tblPr>
        <w:tblW w:w="9802" w:type="dxa"/>
        <w:jc w:val="center"/>
        <w:tblLook w:val="04A0" w:firstRow="1" w:lastRow="0" w:firstColumn="1" w:lastColumn="0" w:noHBand="0" w:noVBand="1"/>
      </w:tblPr>
      <w:tblGrid>
        <w:gridCol w:w="518"/>
        <w:gridCol w:w="4013"/>
        <w:gridCol w:w="1407"/>
        <w:gridCol w:w="2136"/>
        <w:gridCol w:w="1728"/>
      </w:tblGrid>
      <w:tr w:rsidR="00E60BFA" w:rsidRPr="008F4F19" w:rsidTr="007C30FB">
        <w:trPr>
          <w:trHeight w:val="924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0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21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D73600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="00E60BFA"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BFA" w:rsidRPr="007C30FB" w:rsidRDefault="00E60BFA" w:rsidP="00A752F2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E60BFA" w:rsidRPr="008F4F19" w:rsidTr="007C30FB">
        <w:trPr>
          <w:trHeight w:val="207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7C30FB" w:rsidP="00BE440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4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E60BFA" w:rsidP="00E60BFA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Безоплатне та пільгове лікування окремих категорій громадян за соціальними програмами КМУ від 04.06.2015 № 389 «Про затвердження Порядку надання пільг окремим категоріям громадян з урахуванням середньомісячного сукупного доходу сім’ї», Закон України від 28.12.2014 № 76-VIII «Про внесення змін та визнання такими, що втратили чинність, деяких законодавчих актів України»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5946CE" w:rsidP="004C23AC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7C30FB" w:rsidRDefault="007C30FB" w:rsidP="007C30FB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E60BFA" w:rsidRPr="00BA66DA" w:rsidRDefault="00E60BFA" w:rsidP="00E60BFA">
            <w:pPr>
              <w:pStyle w:val="af2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</w:pPr>
            <w:r w:rsidRPr="00BA6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</w:t>
            </w:r>
            <w:r w:rsidR="007C30FB" w:rsidRPr="00BA6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  <w:r w:rsidRPr="00BA66D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,000</w:t>
            </w:r>
          </w:p>
        </w:tc>
      </w:tr>
    </w:tbl>
    <w:p w:rsidR="008C750F" w:rsidRPr="008F4F19" w:rsidRDefault="008C750F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Pr="008F4F19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4F19" w:rsidRDefault="00CF4F19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</w:p>
    <w:p w:rsidR="007C30FB" w:rsidRPr="007C30FB" w:rsidRDefault="007C30FB" w:rsidP="007C30FB">
      <w:pPr>
        <w:pStyle w:val="af1"/>
        <w:ind w:left="7081"/>
        <w:jc w:val="both"/>
        <w:rPr>
          <w:color w:val="808080" w:themeColor="background1" w:themeShade="80"/>
          <w:sz w:val="24"/>
          <w:lang w:val="uk-UA"/>
        </w:rPr>
      </w:pPr>
      <w:r w:rsidRPr="008F4F19">
        <w:rPr>
          <w:color w:val="808080" w:themeColor="background1" w:themeShade="80"/>
          <w:sz w:val="24"/>
          <w:lang w:val="uk-UA"/>
        </w:rPr>
        <w:lastRenderedPageBreak/>
        <w:t>Продовження додатка</w:t>
      </w:r>
    </w:p>
    <w:p w:rsidR="007C30FB" w:rsidRDefault="007C30FB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tbl>
      <w:tblPr>
        <w:tblW w:w="9520" w:type="dxa"/>
        <w:jc w:val="center"/>
        <w:tblLook w:val="04A0" w:firstRow="1" w:lastRow="0" w:firstColumn="1" w:lastColumn="0" w:noHBand="0" w:noVBand="1"/>
      </w:tblPr>
      <w:tblGrid>
        <w:gridCol w:w="518"/>
        <w:gridCol w:w="2454"/>
        <w:gridCol w:w="1407"/>
        <w:gridCol w:w="3413"/>
        <w:gridCol w:w="1728"/>
      </w:tblGrid>
      <w:tr w:rsidR="00D73600" w:rsidRPr="007C30FB" w:rsidTr="00D73600">
        <w:trPr>
          <w:trHeight w:val="240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Перелік заходів Програми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Джерела фінансу</w:t>
            </w: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Орієнтовні обсяги фінансування (вартість), тис. гривень</w:t>
            </w:r>
          </w:p>
        </w:tc>
      </w:tr>
      <w:tr w:rsidR="00D73600" w:rsidRPr="007C30FB" w:rsidTr="007C30FB">
        <w:trPr>
          <w:trHeight w:val="1125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CE1F01" w:rsidRDefault="00D73600" w:rsidP="00D7360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КЕКВ 2270 “Оплата комунальних послуг”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фінансування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D73600" w:rsidRDefault="00316997" w:rsidP="00D73600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696,991</w:t>
            </w:r>
          </w:p>
        </w:tc>
      </w:tr>
      <w:tr w:rsidR="00BA66DA" w:rsidRPr="007C30FB" w:rsidTr="002F700B">
        <w:trPr>
          <w:trHeight w:val="189"/>
          <w:jc w:val="center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A66DA" w:rsidRDefault="00BA66DA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66DA" w:rsidRPr="00D73600" w:rsidRDefault="00BA66DA" w:rsidP="00BA66DA">
            <w:pPr>
              <w:pStyle w:val="af2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у тому числі:</w:t>
            </w:r>
          </w:p>
        </w:tc>
      </w:tr>
      <w:tr w:rsidR="00D73600" w:rsidRPr="007C30FB" w:rsidTr="00806B2A">
        <w:trPr>
          <w:trHeight w:val="189"/>
          <w:jc w:val="center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CE1F01" w:rsidRDefault="00D73600" w:rsidP="00D7360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2271 “Оплата теплопостачання”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BA66DA" w:rsidP="00D73600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фінансування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BA66DA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A66DA">
              <w:rPr>
                <w:rFonts w:ascii="Times New Roman" w:hAnsi="Times New Roman"/>
                <w:sz w:val="24"/>
                <w:szCs w:val="24"/>
                <w:lang w:val="uk-UA"/>
              </w:rPr>
              <w:t>422,306</w:t>
            </w:r>
          </w:p>
        </w:tc>
      </w:tr>
      <w:tr w:rsidR="00D73600" w:rsidRPr="007C30FB" w:rsidTr="000B1D91">
        <w:trPr>
          <w:trHeight w:val="189"/>
          <w:jc w:val="center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CE1F01" w:rsidRDefault="00D73600" w:rsidP="00D7360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2272 “Оплата водопостачання та водовідведення”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BA66DA" w:rsidP="00D73600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фінансування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316997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17,013</w:t>
            </w:r>
          </w:p>
        </w:tc>
      </w:tr>
      <w:tr w:rsidR="00D73600" w:rsidRPr="007C30FB" w:rsidTr="00E26113">
        <w:trPr>
          <w:trHeight w:val="189"/>
          <w:jc w:val="center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CE1F01" w:rsidRDefault="00D73600" w:rsidP="00D7360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2273 “Оплата електроенергії”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BA66DA" w:rsidP="00D73600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фінансування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316997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236,736</w:t>
            </w:r>
          </w:p>
        </w:tc>
      </w:tr>
      <w:tr w:rsidR="00D73600" w:rsidRPr="007C30FB" w:rsidTr="00F438FE">
        <w:trPr>
          <w:trHeight w:val="189"/>
          <w:jc w:val="center"/>
        </w:trPr>
        <w:tc>
          <w:tcPr>
            <w:tcW w:w="5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CE1F01" w:rsidRDefault="00D73600" w:rsidP="00D7360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2274 “Оплата природного газу”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BA66DA" w:rsidP="00D73600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фінансування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316997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4,869</w:t>
            </w:r>
          </w:p>
        </w:tc>
      </w:tr>
      <w:tr w:rsidR="00D73600" w:rsidRPr="007C30FB" w:rsidTr="00180538">
        <w:trPr>
          <w:trHeight w:val="189"/>
          <w:jc w:val="center"/>
        </w:trPr>
        <w:tc>
          <w:tcPr>
            <w:tcW w:w="5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CE1F01" w:rsidRDefault="00D73600" w:rsidP="00D73600">
            <w:pPr>
              <w:pStyle w:val="af2"/>
              <w:ind w:left="-87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</w:pPr>
            <w:r w:rsidRPr="00CE1F0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uk-UA"/>
              </w:rPr>
              <w:t>2275 “Оплата інших  енергоносіїв та інших комунальних послуг”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2021</w:t>
            </w:r>
          </w:p>
        </w:tc>
        <w:tc>
          <w:tcPr>
            <w:tcW w:w="3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BA66DA" w:rsidP="00D73600">
            <w:pPr>
              <w:pStyle w:val="af2"/>
              <w:ind w:left="-87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7C30FB">
              <w:rPr>
                <w:rFonts w:ascii="Times New Roman" w:hAnsi="Times New Roman"/>
                <w:sz w:val="24"/>
                <w:szCs w:val="24"/>
                <w:lang w:val="uk-UA" w:eastAsia="ru-RU"/>
              </w:rPr>
              <w:t>Місцевий бюджет та інші джерела, не заборонені чинним законодавством</w:t>
            </w:r>
            <w:r w:rsidRPr="007C30F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джерела фінансування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316997" w:rsidP="00D73600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16,067</w:t>
            </w:r>
          </w:p>
        </w:tc>
      </w:tr>
      <w:tr w:rsidR="00D73600" w:rsidRPr="007C30FB" w:rsidTr="00BA66DA">
        <w:trPr>
          <w:trHeight w:val="70"/>
          <w:jc w:val="center"/>
        </w:trPr>
        <w:tc>
          <w:tcPr>
            <w:tcW w:w="779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7C30FB" w:rsidRDefault="00D73600" w:rsidP="00E94EF8">
            <w:pPr>
              <w:pStyle w:val="af2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0FB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Всього по Програмі: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600" w:rsidRPr="00BA66DA" w:rsidRDefault="00316997" w:rsidP="00E94EF8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896,991</w:t>
            </w:r>
          </w:p>
        </w:tc>
      </w:tr>
    </w:tbl>
    <w:p w:rsidR="00117108" w:rsidRPr="008F4F19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117108" w:rsidRDefault="00117108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A66DA" w:rsidRDefault="00BA66DA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A66DA" w:rsidRDefault="00BA66DA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BA66DA" w:rsidRPr="008F4F19" w:rsidRDefault="00BA66DA" w:rsidP="00A54BD0">
      <w:pPr>
        <w:pStyle w:val="af2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Начальник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відділу</w:t>
      </w:r>
    </w:p>
    <w:p w:rsidR="00FB2D99" w:rsidRPr="008F4F19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  <w:r w:rsidRPr="008F4F19">
        <w:rPr>
          <w:rFonts w:ascii="Times New Roman" w:hAnsi="Times New Roman"/>
          <w:b/>
          <w:sz w:val="28"/>
          <w:szCs w:val="28"/>
          <w:lang w:val="uk-UA"/>
        </w:rPr>
        <w:t>охорони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здоров’я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ab/>
      </w:r>
      <w:r w:rsidRPr="008F4F19">
        <w:rPr>
          <w:rFonts w:ascii="Times New Roman" w:hAnsi="Times New Roman"/>
          <w:b/>
          <w:sz w:val="28"/>
          <w:szCs w:val="28"/>
          <w:lang w:val="uk-UA"/>
        </w:rPr>
        <w:tab/>
      </w:r>
      <w:r w:rsidRPr="008F4F19">
        <w:rPr>
          <w:rFonts w:ascii="Times New Roman" w:hAnsi="Times New Roman"/>
          <w:b/>
          <w:sz w:val="28"/>
          <w:szCs w:val="28"/>
          <w:lang w:val="uk-UA"/>
        </w:rPr>
        <w:tab/>
      </w:r>
      <w:r w:rsidRPr="008F4F19">
        <w:rPr>
          <w:rFonts w:ascii="Times New Roman" w:hAnsi="Times New Roman"/>
          <w:b/>
          <w:sz w:val="28"/>
          <w:szCs w:val="28"/>
          <w:lang w:val="uk-UA"/>
        </w:rPr>
        <w:tab/>
      </w:r>
      <w:r w:rsidRPr="008F4F19">
        <w:rPr>
          <w:rFonts w:ascii="Times New Roman" w:hAnsi="Times New Roman"/>
          <w:b/>
          <w:sz w:val="28"/>
          <w:szCs w:val="28"/>
          <w:lang w:val="uk-UA"/>
        </w:rPr>
        <w:tab/>
      </w:r>
      <w:r w:rsidRPr="008F4F19">
        <w:rPr>
          <w:rFonts w:ascii="Times New Roman" w:hAnsi="Times New Roman"/>
          <w:b/>
          <w:sz w:val="28"/>
          <w:szCs w:val="28"/>
          <w:lang w:val="uk-UA"/>
        </w:rPr>
        <w:tab/>
        <w:t>Ігор</w:t>
      </w:r>
      <w:r w:rsidR="00AF40CB" w:rsidRPr="008F4F19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F4F19">
        <w:rPr>
          <w:rFonts w:ascii="Times New Roman" w:hAnsi="Times New Roman"/>
          <w:b/>
          <w:sz w:val="28"/>
          <w:szCs w:val="28"/>
          <w:lang w:val="uk-UA"/>
        </w:rPr>
        <w:t>БОНДАРЕНКО</w:t>
      </w:r>
    </w:p>
    <w:p w:rsidR="00FB2D99" w:rsidRPr="008F4F19" w:rsidRDefault="00FB2D99" w:rsidP="00A54BD0">
      <w:pPr>
        <w:pStyle w:val="af2"/>
        <w:rPr>
          <w:rFonts w:ascii="Times New Roman" w:hAnsi="Times New Roman"/>
          <w:b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FB2D99" w:rsidRPr="008F4F19" w:rsidRDefault="00FB2D99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p w:rsidR="00BE2A41" w:rsidRPr="008F4F19" w:rsidRDefault="00CF4F19" w:rsidP="001523B4">
      <w:pPr>
        <w:jc w:val="both"/>
        <w:rPr>
          <w:b/>
          <w:sz w:val="28"/>
          <w:szCs w:val="28"/>
          <w:lang w:val="uk-UA"/>
        </w:rPr>
      </w:pPr>
      <w:bookmarkStart w:id="0" w:name="_GoBack"/>
      <w:bookmarkEnd w:id="0"/>
      <w:r w:rsidRPr="00044230">
        <w:rPr>
          <w:lang w:val="uk-UA"/>
        </w:rPr>
        <w:t xml:space="preserve"> </w:t>
      </w:r>
      <w:r w:rsidR="001523B4" w:rsidRPr="00044230">
        <w:rPr>
          <w:lang w:val="uk-UA"/>
        </w:rPr>
        <w:t>«_____»_____________ 2020 р.</w:t>
      </w:r>
    </w:p>
    <w:p w:rsidR="00BE2A41" w:rsidRPr="008F4F19" w:rsidRDefault="00BE2A41" w:rsidP="00A54BD0">
      <w:pPr>
        <w:pStyle w:val="af2"/>
        <w:rPr>
          <w:rFonts w:ascii="Times New Roman" w:hAnsi="Times New Roman"/>
          <w:sz w:val="28"/>
          <w:szCs w:val="28"/>
          <w:lang w:val="uk-UA"/>
        </w:rPr>
      </w:pPr>
    </w:p>
    <w:sectPr w:rsidR="00BE2A41" w:rsidRPr="008F4F19" w:rsidSect="00CF4F19">
      <w:headerReference w:type="default" r:id="rId10"/>
      <w:pgSz w:w="11906" w:h="16838"/>
      <w:pgMar w:top="709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C4B" w:rsidRDefault="00264C4B" w:rsidP="006F1556">
      <w:r>
        <w:separator/>
      </w:r>
    </w:p>
  </w:endnote>
  <w:endnote w:type="continuationSeparator" w:id="0">
    <w:p w:rsidR="00264C4B" w:rsidRDefault="00264C4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C4B" w:rsidRDefault="00264C4B" w:rsidP="006F1556">
      <w:r>
        <w:separator/>
      </w:r>
    </w:p>
  </w:footnote>
  <w:footnote w:type="continuationSeparator" w:id="0">
    <w:p w:rsidR="00264C4B" w:rsidRDefault="00264C4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1F1" w:rsidRDefault="009751F1" w:rsidP="00A41DE7">
    <w:pPr>
      <w:pStyle w:val="ac"/>
    </w:pPr>
  </w:p>
  <w:p w:rsidR="009751F1" w:rsidRDefault="009751F1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C4610B8"/>
    <w:multiLevelType w:val="hybridMultilevel"/>
    <w:tmpl w:val="2578BD7E"/>
    <w:lvl w:ilvl="0" w:tplc="65981440">
      <w:start w:val="2020"/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0FF90942"/>
    <w:multiLevelType w:val="hybridMultilevel"/>
    <w:tmpl w:val="1D4A1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703A1C"/>
    <w:multiLevelType w:val="hybridMultilevel"/>
    <w:tmpl w:val="4AE0F482"/>
    <w:lvl w:ilvl="0" w:tplc="39C0D5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F397577"/>
    <w:multiLevelType w:val="hybridMultilevel"/>
    <w:tmpl w:val="AC9C52BC"/>
    <w:lvl w:ilvl="0" w:tplc="2AC8C1F0">
      <w:start w:val="4"/>
      <w:numFmt w:val="bullet"/>
      <w:suff w:val="space"/>
      <w:lvlText w:val="-"/>
      <w:lvlJc w:val="left"/>
      <w:pPr>
        <w:ind w:left="567" w:hanging="113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9474354"/>
    <w:multiLevelType w:val="hybridMultilevel"/>
    <w:tmpl w:val="F8185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98592E"/>
    <w:multiLevelType w:val="multilevel"/>
    <w:tmpl w:val="0FD4A5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27B2249"/>
    <w:multiLevelType w:val="hybridMultilevel"/>
    <w:tmpl w:val="F432BDBC"/>
    <w:lvl w:ilvl="0" w:tplc="CD6E82F2">
      <w:start w:val="1"/>
      <w:numFmt w:val="decimal"/>
      <w:suff w:val="space"/>
      <w:lvlText w:val="%1."/>
      <w:lvlJc w:val="left"/>
      <w:pPr>
        <w:ind w:left="680" w:hanging="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4D4F11A1"/>
    <w:multiLevelType w:val="hybridMultilevel"/>
    <w:tmpl w:val="412E12BE"/>
    <w:lvl w:ilvl="0" w:tplc="80A4BA9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12F4EDA"/>
    <w:multiLevelType w:val="hybridMultilevel"/>
    <w:tmpl w:val="C9CAEE28"/>
    <w:lvl w:ilvl="0" w:tplc="6D7EEE98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51EF755F"/>
    <w:multiLevelType w:val="hybridMultilevel"/>
    <w:tmpl w:val="1CB253B2"/>
    <w:lvl w:ilvl="0" w:tplc="93689678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6CA4D61"/>
    <w:multiLevelType w:val="hybridMultilevel"/>
    <w:tmpl w:val="C504B66C"/>
    <w:lvl w:ilvl="0" w:tplc="5DE450B6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680A67"/>
    <w:multiLevelType w:val="hybridMultilevel"/>
    <w:tmpl w:val="F5F8A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5F242587"/>
    <w:multiLevelType w:val="hybridMultilevel"/>
    <w:tmpl w:val="BEFEA148"/>
    <w:lvl w:ilvl="0" w:tplc="EC3C64E2">
      <w:start w:val="1"/>
      <w:numFmt w:val="decimal"/>
      <w:suff w:val="space"/>
      <w:lvlText w:val="%1."/>
      <w:lvlJc w:val="left"/>
      <w:pPr>
        <w:ind w:left="680" w:hanging="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D4F2F"/>
    <w:multiLevelType w:val="hybridMultilevel"/>
    <w:tmpl w:val="A20AE13E"/>
    <w:lvl w:ilvl="0" w:tplc="CE46F84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066CAD"/>
    <w:multiLevelType w:val="hybridMultilevel"/>
    <w:tmpl w:val="11D0DF80"/>
    <w:lvl w:ilvl="0" w:tplc="889C56D2">
      <w:start w:val="3"/>
      <w:numFmt w:val="bullet"/>
      <w:suff w:val="space"/>
      <w:lvlText w:val="-"/>
      <w:lvlJc w:val="left"/>
      <w:pPr>
        <w:ind w:left="680" w:hanging="68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9AF3D52"/>
    <w:multiLevelType w:val="hybridMultilevel"/>
    <w:tmpl w:val="1B3AD268"/>
    <w:lvl w:ilvl="0" w:tplc="31A036A0">
      <w:start w:val="1"/>
      <w:numFmt w:val="bullet"/>
      <w:suff w:val="space"/>
      <w:lvlText w:val="-"/>
      <w:lvlJc w:val="left"/>
      <w:pPr>
        <w:ind w:left="567" w:firstLine="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6B0F5DBE"/>
    <w:multiLevelType w:val="hybridMultilevel"/>
    <w:tmpl w:val="FB2EAFBC"/>
    <w:lvl w:ilvl="0" w:tplc="DF7A071C">
      <w:start w:val="3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74650FE2"/>
    <w:multiLevelType w:val="hybridMultilevel"/>
    <w:tmpl w:val="098EF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0D31FA"/>
    <w:multiLevelType w:val="hybridMultilevel"/>
    <w:tmpl w:val="67EADBC6"/>
    <w:lvl w:ilvl="0" w:tplc="5664C0BC">
      <w:numFmt w:val="bullet"/>
      <w:suff w:val="space"/>
      <w:lvlText w:val="-"/>
      <w:lvlJc w:val="left"/>
      <w:pPr>
        <w:ind w:left="680" w:firstLine="29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7F401D11"/>
    <w:multiLevelType w:val="hybridMultilevel"/>
    <w:tmpl w:val="25CA37D2"/>
    <w:lvl w:ilvl="0" w:tplc="53F2C88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2"/>
  </w:num>
  <w:num w:numId="6">
    <w:abstractNumId w:val="7"/>
  </w:num>
  <w:num w:numId="7">
    <w:abstractNumId w:val="0"/>
  </w:num>
  <w:num w:numId="8">
    <w:abstractNumId w:val="8"/>
  </w:num>
  <w:num w:numId="9">
    <w:abstractNumId w:val="21"/>
  </w:num>
  <w:num w:numId="10">
    <w:abstractNumId w:val="9"/>
  </w:num>
  <w:num w:numId="11">
    <w:abstractNumId w:val="7"/>
  </w:num>
  <w:num w:numId="12">
    <w:abstractNumId w:val="20"/>
  </w:num>
  <w:num w:numId="13">
    <w:abstractNumId w:val="1"/>
  </w:num>
  <w:num w:numId="14">
    <w:abstractNumId w:val="11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"/>
  </w:num>
  <w:num w:numId="19">
    <w:abstractNumId w:val="16"/>
  </w:num>
  <w:num w:numId="20">
    <w:abstractNumId w:val="3"/>
  </w:num>
  <w:num w:numId="21">
    <w:abstractNumId w:val="10"/>
  </w:num>
  <w:num w:numId="22">
    <w:abstractNumId w:val="18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14CF1"/>
    <w:rsid w:val="00016E3B"/>
    <w:rsid w:val="00024C86"/>
    <w:rsid w:val="000320E7"/>
    <w:rsid w:val="00042F1D"/>
    <w:rsid w:val="000559C4"/>
    <w:rsid w:val="00057132"/>
    <w:rsid w:val="00060682"/>
    <w:rsid w:val="000775A5"/>
    <w:rsid w:val="000844C0"/>
    <w:rsid w:val="00086CD9"/>
    <w:rsid w:val="000C47B1"/>
    <w:rsid w:val="000C5C80"/>
    <w:rsid w:val="000C6601"/>
    <w:rsid w:val="000D0690"/>
    <w:rsid w:val="000F5091"/>
    <w:rsid w:val="0011419B"/>
    <w:rsid w:val="00117108"/>
    <w:rsid w:val="00120FEC"/>
    <w:rsid w:val="0012646C"/>
    <w:rsid w:val="00130E34"/>
    <w:rsid w:val="00137A92"/>
    <w:rsid w:val="0014285D"/>
    <w:rsid w:val="0014757A"/>
    <w:rsid w:val="001523B4"/>
    <w:rsid w:val="00153067"/>
    <w:rsid w:val="00160347"/>
    <w:rsid w:val="00160982"/>
    <w:rsid w:val="001652F5"/>
    <w:rsid w:val="00170D55"/>
    <w:rsid w:val="001812DC"/>
    <w:rsid w:val="0018142A"/>
    <w:rsid w:val="0019190A"/>
    <w:rsid w:val="0019494E"/>
    <w:rsid w:val="001A0EBD"/>
    <w:rsid w:val="001A779A"/>
    <w:rsid w:val="001B26AC"/>
    <w:rsid w:val="001B2DC7"/>
    <w:rsid w:val="001C43C2"/>
    <w:rsid w:val="001C46A8"/>
    <w:rsid w:val="001C4AF6"/>
    <w:rsid w:val="001C5ED7"/>
    <w:rsid w:val="001D0769"/>
    <w:rsid w:val="001D4D58"/>
    <w:rsid w:val="001D5AEF"/>
    <w:rsid w:val="001E03E8"/>
    <w:rsid w:val="001E092D"/>
    <w:rsid w:val="001E4B8E"/>
    <w:rsid w:val="001E625A"/>
    <w:rsid w:val="001F49E6"/>
    <w:rsid w:val="00201E26"/>
    <w:rsid w:val="00221EE6"/>
    <w:rsid w:val="00237066"/>
    <w:rsid w:val="00245896"/>
    <w:rsid w:val="0026349C"/>
    <w:rsid w:val="00264166"/>
    <w:rsid w:val="00264C4B"/>
    <w:rsid w:val="002670E5"/>
    <w:rsid w:val="0027536E"/>
    <w:rsid w:val="00277893"/>
    <w:rsid w:val="00282981"/>
    <w:rsid w:val="00294037"/>
    <w:rsid w:val="00297609"/>
    <w:rsid w:val="002A480F"/>
    <w:rsid w:val="002B6D1A"/>
    <w:rsid w:val="002D2EC5"/>
    <w:rsid w:val="002D4AA4"/>
    <w:rsid w:val="002D51B5"/>
    <w:rsid w:val="002E6BC7"/>
    <w:rsid w:val="002E706B"/>
    <w:rsid w:val="002F3BA8"/>
    <w:rsid w:val="0031257A"/>
    <w:rsid w:val="003157D2"/>
    <w:rsid w:val="00316997"/>
    <w:rsid w:val="00324E28"/>
    <w:rsid w:val="003421AE"/>
    <w:rsid w:val="003445AF"/>
    <w:rsid w:val="00350C95"/>
    <w:rsid w:val="00360945"/>
    <w:rsid w:val="003841DB"/>
    <w:rsid w:val="00384F81"/>
    <w:rsid w:val="00391C59"/>
    <w:rsid w:val="003A073D"/>
    <w:rsid w:val="003B1E5D"/>
    <w:rsid w:val="003B5609"/>
    <w:rsid w:val="003B66A6"/>
    <w:rsid w:val="003C1268"/>
    <w:rsid w:val="003C318A"/>
    <w:rsid w:val="003D40D1"/>
    <w:rsid w:val="003E1C1E"/>
    <w:rsid w:val="003F048C"/>
    <w:rsid w:val="0040155D"/>
    <w:rsid w:val="0042147E"/>
    <w:rsid w:val="00436A5C"/>
    <w:rsid w:val="00443F3B"/>
    <w:rsid w:val="00445981"/>
    <w:rsid w:val="00446507"/>
    <w:rsid w:val="00452EAB"/>
    <w:rsid w:val="00454ACE"/>
    <w:rsid w:val="00461A34"/>
    <w:rsid w:val="00472CA6"/>
    <w:rsid w:val="00474F4E"/>
    <w:rsid w:val="004C23AC"/>
    <w:rsid w:val="004C435B"/>
    <w:rsid w:val="004C4D9D"/>
    <w:rsid w:val="004D1C6B"/>
    <w:rsid w:val="004D431C"/>
    <w:rsid w:val="004E6A6F"/>
    <w:rsid w:val="005232BF"/>
    <w:rsid w:val="00541E13"/>
    <w:rsid w:val="0054364E"/>
    <w:rsid w:val="0055520D"/>
    <w:rsid w:val="005946CE"/>
    <w:rsid w:val="005A4F95"/>
    <w:rsid w:val="005A7025"/>
    <w:rsid w:val="005C6590"/>
    <w:rsid w:val="005C6DE5"/>
    <w:rsid w:val="005E6130"/>
    <w:rsid w:val="0060594B"/>
    <w:rsid w:val="00620D9C"/>
    <w:rsid w:val="00645527"/>
    <w:rsid w:val="00650DE9"/>
    <w:rsid w:val="00667CE8"/>
    <w:rsid w:val="006C32BC"/>
    <w:rsid w:val="006E1F5E"/>
    <w:rsid w:val="006E7F90"/>
    <w:rsid w:val="006F1556"/>
    <w:rsid w:val="00710D80"/>
    <w:rsid w:val="00722337"/>
    <w:rsid w:val="0073059A"/>
    <w:rsid w:val="00740644"/>
    <w:rsid w:val="00740CBF"/>
    <w:rsid w:val="0074431A"/>
    <w:rsid w:val="007514D5"/>
    <w:rsid w:val="007518F0"/>
    <w:rsid w:val="00762FEE"/>
    <w:rsid w:val="0077376C"/>
    <w:rsid w:val="00775059"/>
    <w:rsid w:val="00782DB2"/>
    <w:rsid w:val="00793218"/>
    <w:rsid w:val="0079417C"/>
    <w:rsid w:val="007C30FB"/>
    <w:rsid w:val="007D38A0"/>
    <w:rsid w:val="007E796D"/>
    <w:rsid w:val="007F618D"/>
    <w:rsid w:val="0080381C"/>
    <w:rsid w:val="008051DE"/>
    <w:rsid w:val="00822F9F"/>
    <w:rsid w:val="008330BA"/>
    <w:rsid w:val="00840A7D"/>
    <w:rsid w:val="00861826"/>
    <w:rsid w:val="00864B53"/>
    <w:rsid w:val="00865505"/>
    <w:rsid w:val="00871755"/>
    <w:rsid w:val="00887FF8"/>
    <w:rsid w:val="0089063B"/>
    <w:rsid w:val="008A0D01"/>
    <w:rsid w:val="008A2026"/>
    <w:rsid w:val="008C0234"/>
    <w:rsid w:val="008C0E6F"/>
    <w:rsid w:val="008C5AA2"/>
    <w:rsid w:val="008C750F"/>
    <w:rsid w:val="008D1E8D"/>
    <w:rsid w:val="008D73E2"/>
    <w:rsid w:val="008F4F19"/>
    <w:rsid w:val="008F77E2"/>
    <w:rsid w:val="00904DBE"/>
    <w:rsid w:val="00915347"/>
    <w:rsid w:val="0091639E"/>
    <w:rsid w:val="0094119B"/>
    <w:rsid w:val="00947125"/>
    <w:rsid w:val="00956474"/>
    <w:rsid w:val="00957D4B"/>
    <w:rsid w:val="0096097F"/>
    <w:rsid w:val="0096518D"/>
    <w:rsid w:val="00971EE7"/>
    <w:rsid w:val="009751F1"/>
    <w:rsid w:val="0098778D"/>
    <w:rsid w:val="00992264"/>
    <w:rsid w:val="009930BA"/>
    <w:rsid w:val="009A2E83"/>
    <w:rsid w:val="009B0A67"/>
    <w:rsid w:val="009B0D84"/>
    <w:rsid w:val="009B3808"/>
    <w:rsid w:val="009B753D"/>
    <w:rsid w:val="009C30A3"/>
    <w:rsid w:val="009D35C0"/>
    <w:rsid w:val="009E65E2"/>
    <w:rsid w:val="00A06076"/>
    <w:rsid w:val="00A11ACC"/>
    <w:rsid w:val="00A153FC"/>
    <w:rsid w:val="00A15527"/>
    <w:rsid w:val="00A1745F"/>
    <w:rsid w:val="00A27B6A"/>
    <w:rsid w:val="00A413EC"/>
    <w:rsid w:val="00A41DE7"/>
    <w:rsid w:val="00A45826"/>
    <w:rsid w:val="00A54BD0"/>
    <w:rsid w:val="00A6550F"/>
    <w:rsid w:val="00A752F2"/>
    <w:rsid w:val="00A82D00"/>
    <w:rsid w:val="00A903B0"/>
    <w:rsid w:val="00A91541"/>
    <w:rsid w:val="00AB30DA"/>
    <w:rsid w:val="00AB5B0F"/>
    <w:rsid w:val="00AC32C2"/>
    <w:rsid w:val="00AC6F08"/>
    <w:rsid w:val="00AD359D"/>
    <w:rsid w:val="00AF2A99"/>
    <w:rsid w:val="00AF366B"/>
    <w:rsid w:val="00AF40CB"/>
    <w:rsid w:val="00B07737"/>
    <w:rsid w:val="00B108C9"/>
    <w:rsid w:val="00B12A9F"/>
    <w:rsid w:val="00B14F62"/>
    <w:rsid w:val="00B473D5"/>
    <w:rsid w:val="00B60BD2"/>
    <w:rsid w:val="00B6451B"/>
    <w:rsid w:val="00B64A24"/>
    <w:rsid w:val="00B67165"/>
    <w:rsid w:val="00B753D9"/>
    <w:rsid w:val="00B85548"/>
    <w:rsid w:val="00B879E1"/>
    <w:rsid w:val="00B92F9C"/>
    <w:rsid w:val="00B95850"/>
    <w:rsid w:val="00BA66DA"/>
    <w:rsid w:val="00BB0C28"/>
    <w:rsid w:val="00BE2A41"/>
    <w:rsid w:val="00BE4406"/>
    <w:rsid w:val="00BE73E3"/>
    <w:rsid w:val="00BF1073"/>
    <w:rsid w:val="00BF3489"/>
    <w:rsid w:val="00BF5C42"/>
    <w:rsid w:val="00C051C2"/>
    <w:rsid w:val="00C07B6D"/>
    <w:rsid w:val="00C129AF"/>
    <w:rsid w:val="00C20364"/>
    <w:rsid w:val="00C22F8A"/>
    <w:rsid w:val="00C317AA"/>
    <w:rsid w:val="00C34E48"/>
    <w:rsid w:val="00C51AF4"/>
    <w:rsid w:val="00C57444"/>
    <w:rsid w:val="00C60DFD"/>
    <w:rsid w:val="00C617D1"/>
    <w:rsid w:val="00C82260"/>
    <w:rsid w:val="00C93C94"/>
    <w:rsid w:val="00CB280F"/>
    <w:rsid w:val="00CB747E"/>
    <w:rsid w:val="00CD457E"/>
    <w:rsid w:val="00CE1ACF"/>
    <w:rsid w:val="00CE4FF0"/>
    <w:rsid w:val="00CF375A"/>
    <w:rsid w:val="00CF4F19"/>
    <w:rsid w:val="00CF6835"/>
    <w:rsid w:val="00D35638"/>
    <w:rsid w:val="00D4313E"/>
    <w:rsid w:val="00D465D4"/>
    <w:rsid w:val="00D5708F"/>
    <w:rsid w:val="00D65C1E"/>
    <w:rsid w:val="00D722C6"/>
    <w:rsid w:val="00D73600"/>
    <w:rsid w:val="00D750C1"/>
    <w:rsid w:val="00D760EB"/>
    <w:rsid w:val="00D82BD7"/>
    <w:rsid w:val="00D9008A"/>
    <w:rsid w:val="00D955FC"/>
    <w:rsid w:val="00DA1AB0"/>
    <w:rsid w:val="00DA6EA9"/>
    <w:rsid w:val="00DC01D2"/>
    <w:rsid w:val="00DC168B"/>
    <w:rsid w:val="00DD350F"/>
    <w:rsid w:val="00DD4AD8"/>
    <w:rsid w:val="00DF4850"/>
    <w:rsid w:val="00E02958"/>
    <w:rsid w:val="00E20C69"/>
    <w:rsid w:val="00E27E78"/>
    <w:rsid w:val="00E40876"/>
    <w:rsid w:val="00E44D72"/>
    <w:rsid w:val="00E50B45"/>
    <w:rsid w:val="00E54AC8"/>
    <w:rsid w:val="00E56833"/>
    <w:rsid w:val="00E60BFA"/>
    <w:rsid w:val="00E710DA"/>
    <w:rsid w:val="00E732EF"/>
    <w:rsid w:val="00E7646D"/>
    <w:rsid w:val="00E96861"/>
    <w:rsid w:val="00EA1293"/>
    <w:rsid w:val="00EB2A72"/>
    <w:rsid w:val="00EC7449"/>
    <w:rsid w:val="00EE7D2B"/>
    <w:rsid w:val="00F1381B"/>
    <w:rsid w:val="00F16837"/>
    <w:rsid w:val="00F23419"/>
    <w:rsid w:val="00F313AD"/>
    <w:rsid w:val="00F342E5"/>
    <w:rsid w:val="00F37A63"/>
    <w:rsid w:val="00F42FDF"/>
    <w:rsid w:val="00F520F6"/>
    <w:rsid w:val="00F538D1"/>
    <w:rsid w:val="00F65823"/>
    <w:rsid w:val="00F71F96"/>
    <w:rsid w:val="00F740E2"/>
    <w:rsid w:val="00F848F2"/>
    <w:rsid w:val="00F91691"/>
    <w:rsid w:val="00FB2D99"/>
    <w:rsid w:val="00FC0B06"/>
    <w:rsid w:val="00FC2F40"/>
    <w:rsid w:val="00FD04F5"/>
    <w:rsid w:val="00FD2C7A"/>
    <w:rsid w:val="00FE1024"/>
    <w:rsid w:val="00FE1D3F"/>
    <w:rsid w:val="00FF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3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character" w:customStyle="1" w:styleId="FontStyle">
    <w:name w:val="Font Style"/>
    <w:rsid w:val="00A413EC"/>
    <w:rPr>
      <w:rFonts w:cs="Courier New"/>
      <w:color w:val="000000"/>
      <w:sz w:val="20"/>
      <w:szCs w:val="20"/>
    </w:rPr>
  </w:style>
  <w:style w:type="paragraph" w:styleId="af2">
    <w:name w:val="No Spacing"/>
    <w:link w:val="af3"/>
    <w:uiPriority w:val="1"/>
    <w:qFormat/>
    <w:rsid w:val="008C5AA2"/>
    <w:pPr>
      <w:jc w:val="left"/>
    </w:pPr>
    <w:rPr>
      <w:rFonts w:ascii="Calibri" w:eastAsia="Calibri" w:hAnsi="Calibri" w:cs="Times New Roman"/>
      <w:lang w:val="ru-RU"/>
    </w:rPr>
  </w:style>
  <w:style w:type="character" w:customStyle="1" w:styleId="2">
    <w:name w:val="Основной текст (2)_"/>
    <w:basedOn w:val="a0"/>
    <w:link w:val="20"/>
    <w:rsid w:val="00FB2D9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2D99"/>
    <w:pPr>
      <w:shd w:val="clear" w:color="auto" w:fill="FFFFFF"/>
      <w:spacing w:before="120" w:after="240" w:line="322" w:lineRule="exact"/>
      <w:jc w:val="center"/>
    </w:pPr>
    <w:rPr>
      <w:sz w:val="28"/>
      <w:szCs w:val="28"/>
      <w:lang w:val="uk-UA" w:eastAsia="en-US"/>
    </w:rPr>
  </w:style>
  <w:style w:type="character" w:customStyle="1" w:styleId="5">
    <w:name w:val="Основной текст (5)_"/>
    <w:link w:val="51"/>
    <w:uiPriority w:val="99"/>
    <w:locked/>
    <w:rsid w:val="00360945"/>
    <w:rPr>
      <w:sz w:val="26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360945"/>
    <w:pPr>
      <w:widowControl w:val="0"/>
      <w:shd w:val="clear" w:color="auto" w:fill="FFFFFF"/>
      <w:spacing w:line="240" w:lineRule="atLeast"/>
      <w:ind w:hanging="2040"/>
      <w:jc w:val="both"/>
    </w:pPr>
    <w:rPr>
      <w:rFonts w:asciiTheme="minorHAnsi" w:eastAsiaTheme="minorHAnsi" w:hAnsiTheme="minorHAnsi" w:cstheme="minorBidi"/>
      <w:sz w:val="26"/>
      <w:szCs w:val="22"/>
      <w:lang w:val="uk-UA" w:eastAsia="en-US"/>
    </w:rPr>
  </w:style>
  <w:style w:type="character" w:customStyle="1" w:styleId="50">
    <w:name w:val="Заголовок №5_"/>
    <w:link w:val="52"/>
    <w:uiPriority w:val="99"/>
    <w:locked/>
    <w:rsid w:val="00360945"/>
    <w:rPr>
      <w:b/>
      <w:sz w:val="26"/>
      <w:shd w:val="clear" w:color="auto" w:fill="FFFFFF"/>
    </w:rPr>
  </w:style>
  <w:style w:type="paragraph" w:customStyle="1" w:styleId="52">
    <w:name w:val="Заголовок №5"/>
    <w:basedOn w:val="a"/>
    <w:link w:val="50"/>
    <w:uiPriority w:val="99"/>
    <w:rsid w:val="00360945"/>
    <w:pPr>
      <w:widowControl w:val="0"/>
      <w:shd w:val="clear" w:color="auto" w:fill="FFFFFF"/>
      <w:spacing w:before="300" w:line="319" w:lineRule="exact"/>
      <w:outlineLvl w:val="4"/>
    </w:pPr>
    <w:rPr>
      <w:rFonts w:asciiTheme="minorHAnsi" w:eastAsiaTheme="minorHAnsi" w:hAnsiTheme="minorHAnsi" w:cstheme="minorBidi"/>
      <w:b/>
      <w:sz w:val="26"/>
      <w:szCs w:val="22"/>
      <w:lang w:val="uk-UA" w:eastAsia="en-US"/>
    </w:rPr>
  </w:style>
  <w:style w:type="character" w:customStyle="1" w:styleId="af3">
    <w:name w:val="Без интервала Знак"/>
    <w:link w:val="af2"/>
    <w:uiPriority w:val="1"/>
    <w:locked/>
    <w:rsid w:val="00A54BD0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AB6AC-9BD2-40F9-B677-2BF7B5731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2701</Words>
  <Characters>15400</Characters>
  <Application>Microsoft Office Word</Application>
  <DocSecurity>0</DocSecurity>
  <Lines>128</Lines>
  <Paragraphs>36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18065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2020-10-01T12:38:00Z</cp:lastPrinted>
  <dcterms:created xsi:type="dcterms:W3CDTF">2020-10-02T08:03:00Z</dcterms:created>
  <dcterms:modified xsi:type="dcterms:W3CDTF">2020-10-02T11:37:00Z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