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D87AB5" w:rsidP="00D87AB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B4D12" w:rsidRPr="004C4D9D" w:rsidRDefault="004C4D9D" w:rsidP="005B4D1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87AB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D87AB5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F1129A" w:rsidRDefault="00F1129A" w:rsidP="00BF3489">
      <w:pPr>
        <w:rPr>
          <w:sz w:val="28"/>
        </w:rPr>
      </w:pPr>
      <w:r w:rsidRPr="00F1129A">
        <w:rPr>
          <w:sz w:val="28"/>
        </w:rPr>
        <w:t>09.03.2021</w:t>
      </w:r>
      <w:r w:rsidRPr="00F1129A">
        <w:rPr>
          <w:sz w:val="28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F1129A">
        <w:rPr>
          <w:sz w:val="28"/>
        </w:rPr>
        <w:t>15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Порядку проведення внутрішнього фінансового контролю та аудиту фінансовим управлінням Лисичанської міської</w:t>
      </w:r>
    </w:p>
    <w:p w:rsidR="00357C52" w:rsidRDefault="00357C52" w:rsidP="00357C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 </w:t>
      </w: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</w:p>
    <w:p w:rsidR="00357C52" w:rsidRDefault="00357C52" w:rsidP="00357C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Луганської області</w:t>
      </w:r>
    </w:p>
    <w:p w:rsidR="00357C52" w:rsidRDefault="00357C52" w:rsidP="00357C52">
      <w:pPr>
        <w:jc w:val="both"/>
        <w:rPr>
          <w:b/>
          <w:sz w:val="28"/>
          <w:szCs w:val="28"/>
          <w:lang w:val="uk-UA"/>
        </w:rPr>
      </w:pPr>
    </w:p>
    <w:p w:rsidR="00357C52" w:rsidRDefault="002B1068" w:rsidP="002B10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57C52">
        <w:rPr>
          <w:sz w:val="28"/>
          <w:szCs w:val="28"/>
          <w:lang w:val="uk-UA"/>
        </w:rPr>
        <w:t xml:space="preserve">Відповідно до частини третьої статті 26, статті 111 Бюджетного кодексу України, Основних засад здійснення внутрішнього контролю розпорядниками бюджетних коштів, затверджених постановою Кабінету Міністрів України від 12.12.2018 №1062, статті 78 Господарського кодексу України, керуючись частиною десятою статті 4, частиною третьою статті 6 Закону України «Про військово-цивільні адміністрації», </w:t>
      </w:r>
    </w:p>
    <w:p w:rsidR="00357C52" w:rsidRDefault="00357C52" w:rsidP="00357C52">
      <w:pPr>
        <w:jc w:val="both"/>
        <w:rPr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2B1068" w:rsidP="002B10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</w:t>
      </w:r>
      <w:r w:rsidR="00357C52">
        <w:rPr>
          <w:sz w:val="28"/>
          <w:szCs w:val="28"/>
          <w:lang w:val="uk-UA"/>
        </w:rPr>
        <w:t xml:space="preserve">Затвердити Порядок проведення внутрішнього фінансового контролю та аудиту фінансовим управлінням Лисичанської міської військово-цивільної адміністрації </w:t>
      </w:r>
      <w:proofErr w:type="spellStart"/>
      <w:r w:rsidR="00357C52">
        <w:rPr>
          <w:sz w:val="28"/>
          <w:szCs w:val="28"/>
          <w:lang w:val="uk-UA"/>
        </w:rPr>
        <w:t>Сєвєродонецького</w:t>
      </w:r>
      <w:proofErr w:type="spellEnd"/>
      <w:r w:rsidR="00357C52">
        <w:rPr>
          <w:sz w:val="28"/>
          <w:szCs w:val="28"/>
          <w:lang w:val="uk-UA"/>
        </w:rPr>
        <w:t xml:space="preserve"> району Луганської області (додається).</w:t>
      </w:r>
    </w:p>
    <w:p w:rsidR="002B1068" w:rsidRDefault="002B1068" w:rsidP="002B10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2B1068" w:rsidRDefault="002B1068" w:rsidP="002B10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Визнати таким, що втратило чинність розпорядження керівника військово-цивільної адміністрації міста Лисичанськ Луганської області від 16.09.2020 №348 «Про затвердження Порядку проведення внутрішнього фінансового контролю та аудиту фінансовим управлінням військово-цивільної адміністрації міста Лисичанськ Луганської області».</w:t>
      </w:r>
    </w:p>
    <w:p w:rsidR="002B1068" w:rsidRDefault="002B1068" w:rsidP="002B10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57C52" w:rsidRPr="002B1068" w:rsidRDefault="00357C52" w:rsidP="002B1068">
      <w:pPr>
        <w:pStyle w:val="af1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1068">
        <w:rPr>
          <w:sz w:val="28"/>
          <w:szCs w:val="28"/>
          <w:lang w:val="uk-UA"/>
        </w:rPr>
        <w:t>Дане розпорядження підлягає оприлюдненню.</w:t>
      </w:r>
    </w:p>
    <w:p w:rsidR="00357C52" w:rsidRDefault="00357C52" w:rsidP="00357C52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</w:p>
    <w:p w:rsidR="00357C52" w:rsidRDefault="00357C52" w:rsidP="002B1068">
      <w:pPr>
        <w:pStyle w:val="1"/>
        <w:numPr>
          <w:ilvl w:val="0"/>
          <w:numId w:val="3"/>
        </w:num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за виконанням даного розпорядження залишаю за собою.</w:t>
      </w:r>
    </w:p>
    <w:p w:rsidR="00357C52" w:rsidRDefault="00357C52" w:rsidP="00357C52">
      <w:pPr>
        <w:tabs>
          <w:tab w:val="left" w:pos="0"/>
        </w:tabs>
        <w:ind w:firstLine="851"/>
        <w:jc w:val="both"/>
        <w:rPr>
          <w:sz w:val="28"/>
          <w:lang w:val="uk-UA"/>
        </w:rPr>
      </w:pPr>
    </w:p>
    <w:p w:rsidR="00357C52" w:rsidRDefault="00357C52" w:rsidP="00357C52">
      <w:pPr>
        <w:tabs>
          <w:tab w:val="left" w:pos="0"/>
        </w:tabs>
        <w:ind w:left="851"/>
        <w:jc w:val="both"/>
        <w:rPr>
          <w:sz w:val="28"/>
          <w:lang w:val="uk-UA"/>
        </w:rPr>
      </w:pPr>
    </w:p>
    <w:p w:rsidR="00357C52" w:rsidRDefault="00357C52" w:rsidP="00357C52">
      <w:pPr>
        <w:tabs>
          <w:tab w:val="left" w:pos="0"/>
        </w:tabs>
        <w:jc w:val="both"/>
        <w:rPr>
          <w:sz w:val="28"/>
          <w:lang w:val="uk-UA"/>
        </w:rPr>
      </w:pPr>
    </w:p>
    <w:p w:rsidR="00357C52" w:rsidRDefault="00357C52" w:rsidP="00357C52">
      <w:pPr>
        <w:tabs>
          <w:tab w:val="left" w:pos="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Керівник Лисичанської міської </w:t>
      </w:r>
    </w:p>
    <w:p w:rsidR="00357C52" w:rsidRDefault="00357C52" w:rsidP="00357C52">
      <w:pPr>
        <w:tabs>
          <w:tab w:val="left" w:pos="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військово-цивільної адміністрації                                        Олександр ЗАЇКА</w:t>
      </w: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2B1068" w:rsidRDefault="002B1068" w:rsidP="00357C52">
      <w:pPr>
        <w:pStyle w:val="2"/>
        <w:spacing w:after="0" w:line="240" w:lineRule="auto"/>
        <w:ind w:left="4962"/>
        <w:jc w:val="both"/>
        <w:rPr>
          <w:b/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ind w:left="496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</w:t>
      </w:r>
    </w:p>
    <w:p w:rsidR="00357C52" w:rsidRDefault="00357C52" w:rsidP="00357C52">
      <w:pPr>
        <w:pStyle w:val="2"/>
        <w:spacing w:after="0" w:line="240" w:lineRule="auto"/>
        <w:ind w:left="4962"/>
        <w:jc w:val="both"/>
        <w:rPr>
          <w:b/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ind w:left="496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357C52" w:rsidRDefault="00357C52" w:rsidP="00357C52">
      <w:pPr>
        <w:pStyle w:val="2"/>
        <w:spacing w:after="0" w:line="240" w:lineRule="auto"/>
        <w:ind w:left="496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керівника</w:t>
      </w:r>
    </w:p>
    <w:p w:rsidR="00357C52" w:rsidRDefault="00357C52" w:rsidP="00357C52">
      <w:pPr>
        <w:pStyle w:val="2"/>
        <w:spacing w:after="0" w:line="240" w:lineRule="auto"/>
        <w:ind w:left="496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357C52" w:rsidRDefault="00357C52" w:rsidP="00357C52">
      <w:pPr>
        <w:pStyle w:val="2"/>
        <w:spacing w:after="0" w:line="240" w:lineRule="auto"/>
        <w:ind w:left="496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</w:p>
    <w:p w:rsidR="00357C52" w:rsidRPr="00CE1FA6" w:rsidRDefault="00CE1FA6" w:rsidP="00357C52">
      <w:pPr>
        <w:pStyle w:val="2"/>
        <w:spacing w:after="0"/>
        <w:ind w:left="4962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від « </w:t>
      </w:r>
      <w:r>
        <w:rPr>
          <w:b/>
          <w:sz w:val="28"/>
          <w:szCs w:val="28"/>
          <w:lang w:val="en-US"/>
        </w:rPr>
        <w:t>09</w:t>
      </w:r>
      <w:r>
        <w:rPr>
          <w:b/>
          <w:sz w:val="28"/>
          <w:szCs w:val="28"/>
          <w:lang w:val="uk-UA"/>
        </w:rPr>
        <w:t xml:space="preserve"> »</w:t>
      </w:r>
      <w:r>
        <w:rPr>
          <w:b/>
          <w:sz w:val="28"/>
          <w:szCs w:val="28"/>
          <w:lang w:val="en-US"/>
        </w:rPr>
        <w:t xml:space="preserve"> 03.</w:t>
      </w:r>
      <w:bookmarkStart w:id="0" w:name="_GoBack"/>
      <w:bookmarkEnd w:id="0"/>
      <w:r>
        <w:rPr>
          <w:b/>
          <w:sz w:val="28"/>
          <w:szCs w:val="28"/>
          <w:lang w:val="uk-UA"/>
        </w:rPr>
        <w:t>2021  №</w:t>
      </w:r>
      <w:r>
        <w:rPr>
          <w:b/>
          <w:sz w:val="28"/>
          <w:szCs w:val="28"/>
          <w:lang w:val="en-US"/>
        </w:rPr>
        <w:t xml:space="preserve"> 15</w:t>
      </w:r>
    </w:p>
    <w:p w:rsidR="00357C52" w:rsidRDefault="00357C52" w:rsidP="00357C52">
      <w:pPr>
        <w:pStyle w:val="2"/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</w:t>
      </w:r>
    </w:p>
    <w:p w:rsidR="00357C52" w:rsidRDefault="00357C52" w:rsidP="00357C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проведення внутрішнього фінансового контролю та аудиту фінансовим управлінням Лисичанської міської військово-цивільної адміністрації </w:t>
      </w: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357C52" w:rsidRDefault="00357C52" w:rsidP="00357C52">
      <w:pPr>
        <w:pStyle w:val="2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Цей Порядок визначає механізм проведення фінансовим управлінням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(далі за текстом – Фінансове управління) внутрішнього фінансового контролю та аудиту в бюджетних установах, організаціях та закладах комунальної форми власності, що є розпорядниками та одержувачами бюджетних коштів, та у разі залучення посадових осіб Фінансового управління  до проведення таких заходів на підприємствах комунальної форми власності (далі – об’єкти контролю). 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Внутрішній контроль – комплекс заходів, що застосовується для забезпечення дотримання законності та ефективності об’єктами контролю використання бюджетних коштів, досягнення результатів відповідно до встановленої мети, завдань, планів та здійснюється на всіх стадіях бюджетного процесу.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Внутрішній аудит – діяльність, спрямована на удосконалення системи управління, запобігання фактам незаконного, та не результативного використання бюджетних коштів, виникненню помилок чи інших недоліків, поліпшення внутрішнього контролю. 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Основними завданнями контролю та аудиту є: оцінка управління об’єктами контролю бюджетними коштами, запобігання порушенням  бюджетного законодавства, досягнення економії бюджетних коштів, їх цільового використання, ефективності і результативності в діяльності розпорядників та одержувачів коштів, аналіз умов, причин і наслідків порушень законодавства і недоліків та надання пропозицій щодо їх усунення та запобігання їм у подальшому.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Предметом контролю та аудиту є: обґрунтованість розрахунків до бюджетних запитів, дотримання фінансово-бюджетної, кошторисної та штатної дисципліни, цільове використання бюджетних коштів, правильність ведення бухгалтерського обліку та достовірність фінансової і бюджетної звітності, відповідність взятих бюджетних зобов’язань бюджетним асигнуванням, паспорту бюджетної програми, стан погашення та списання відповідно до законодавства дебіторської та кредиторської заборгованості за бюджетні </w:t>
      </w:r>
      <w:r>
        <w:rPr>
          <w:sz w:val="28"/>
          <w:szCs w:val="28"/>
          <w:lang w:val="uk-UA"/>
        </w:rPr>
        <w:lastRenderedPageBreak/>
        <w:t>кошти,  додержання встановленого порядку закупівлі товарів, робіт і послуг за бюджетні кошти, стан усунення порушень та недоліків, виявлених в результаті контрольних заходів, стан функціонування внутрішнього контролю та аудиту у розпорядників коштів.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Внутрішній фінансовий контроль та аудит здійснюється Фінансовим управлінням у формі контрольних заходів</w:t>
      </w:r>
      <w:r>
        <w:rPr>
          <w:color w:val="0000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підставі складених на квартал планів роботи, які затверджуються начальником Фінансового управління. Зміни до планів вносяться в порядку їх затвердження. Перед початком контрольного заходу керівнику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єкту</w:t>
      </w:r>
      <w:proofErr w:type="spellEnd"/>
      <w:r>
        <w:rPr>
          <w:sz w:val="28"/>
          <w:szCs w:val="28"/>
          <w:lang w:val="uk-UA"/>
        </w:rPr>
        <w:t xml:space="preserve"> контролю надсилається відповідне повідомлення не пізніше ніж за три робочих дні. Планові контрольні заходи проводяться на підставі листа, підписаного начальником фінансового управління, що містить обов’язкові реквізити: дату і номер, найменування об’єкту контролю, тему контрольного заходу, посада, прізвище, ім’я, по-батькові особи, уповноваженої на проведення контрольного заходу.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Позапланові контрольні заходи, уповноваженими на проведення яких визначені посадові особи Фінансового управління, проводяться за розпорядженням керівника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та відповідно до повноважень, визначених даним Порядком.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проведення контрольних заходів не повинен перевищувати 30 робочих днів. За обґрунтованим поданням посадової особи, уповноваженої на проведення контрольного заходу, цей термін може бути продовжений з дозволу ініціатора заходу.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контрольних заходів оформляються довідкою за підписом уповноваженої на проведення контрольного заходу посадової особи Фінансового управління, керівника і головного бухгалтера (</w:t>
      </w:r>
      <w:proofErr w:type="spellStart"/>
      <w:r>
        <w:rPr>
          <w:sz w:val="28"/>
          <w:szCs w:val="28"/>
          <w:lang w:val="uk-UA"/>
        </w:rPr>
        <w:t>бухгалтера</w:t>
      </w:r>
      <w:proofErr w:type="spellEnd"/>
      <w:r>
        <w:rPr>
          <w:sz w:val="28"/>
          <w:szCs w:val="28"/>
          <w:lang w:val="uk-UA"/>
        </w:rPr>
        <w:t>) об’єкту контролю. У разі наявності заперечень або зауважень до довідки керівник і головний бухгалтер (</w:t>
      </w:r>
      <w:proofErr w:type="spellStart"/>
      <w:r>
        <w:rPr>
          <w:sz w:val="28"/>
          <w:szCs w:val="28"/>
          <w:lang w:val="uk-UA"/>
        </w:rPr>
        <w:t>бухгалтер</w:t>
      </w:r>
      <w:proofErr w:type="spellEnd"/>
      <w:r>
        <w:rPr>
          <w:sz w:val="28"/>
          <w:szCs w:val="28"/>
          <w:lang w:val="uk-UA"/>
        </w:rPr>
        <w:t xml:space="preserve">) об’єкту контролю повинні у день передачі довідки на ознайомлення підписати їх із зауваженнями та/або запереченнями і не пізніше ніж через 5 робочих днів подати їх у письмовій формі. 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планових та позапланових контрольних заходів подаються начальнику Фінансового управління. Начальник Фінансового управління за результатами проведених контрольних заходів готує інформацію та/або пропозиції керівнику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для прийняття відповідних управлінських рішень.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Посадові особи Фінансового управління, які здійснюють контрольні заходи, мають право: перевіряти на об’єктах контролю результати виконання планів, кошторисів, грошові, фінансові, бухгалтерські документи і інші документи, що стосуються теми контрольного заходу; перевіряти фактичну наявність активів, придбаних за бюджетні кошти, відповідність облікових і звітних даних фактичному стану справ, вимагати від керівника об’єкту контролю проведення інвентаризації активів і зобов’язань, здійснення контрольних обмірів обсягу виконаних робіт, послуг за бюджетні кошти, у разі потреби, опечатувати каси і касові приміщення, склади, архіви; одержувати </w:t>
      </w:r>
      <w:r>
        <w:rPr>
          <w:sz w:val="28"/>
          <w:szCs w:val="28"/>
          <w:lang w:val="uk-UA"/>
        </w:rPr>
        <w:lastRenderedPageBreak/>
        <w:t xml:space="preserve">документи та відомості з баз даних щодо руху бюджетних коштів, одержувати від посадових осіб письмові пояснення з питань, що виникають під час здійснення контрольних заходів, копії документів, засвідчені в установленому порядку; у межах повноважень, ініціювати вжиття заходів впливу за порушення бюджетного законодавства, визначених ст.118 Бюджетного кодексу України, розробляти пропозиції щодо виявлених порушень, недоліків та встановити контроль за їх усуненням. </w:t>
      </w: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Посадові особи Фінансового управління, які здійснюють контрольні заходи, зобов’язані: дотримуватись нормативно-правових актів з відповідних питань; не розголошувати інформацію, яка стала їм відома під час виконання контрольних заходів, крім випадків, передбачених законодавством; уникати та не допускати виникнення конфлікту інтересів відповідно до закону.    </w:t>
      </w:r>
    </w:p>
    <w:p w:rsidR="00357C52" w:rsidRDefault="00357C52" w:rsidP="00357C52">
      <w:pPr>
        <w:pStyle w:val="2"/>
        <w:spacing w:after="0" w:line="240" w:lineRule="auto"/>
        <w:ind w:firstLine="5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57C52" w:rsidRDefault="00357C52" w:rsidP="00357C52">
      <w:pPr>
        <w:pStyle w:val="2"/>
        <w:spacing w:after="0" w:line="240" w:lineRule="auto"/>
        <w:ind w:firstLine="560"/>
        <w:rPr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ind w:firstLine="560"/>
        <w:rPr>
          <w:sz w:val="28"/>
          <w:szCs w:val="28"/>
          <w:lang w:val="uk-UA"/>
        </w:rPr>
      </w:pPr>
    </w:p>
    <w:p w:rsidR="00357C52" w:rsidRDefault="00357C52" w:rsidP="00357C52">
      <w:pPr>
        <w:pStyle w:val="2"/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фінансового управління </w:t>
      </w:r>
    </w:p>
    <w:p w:rsidR="00357C52" w:rsidRDefault="00357C52" w:rsidP="00357C52">
      <w:pPr>
        <w:pStyle w:val="2"/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Лисичанської міської </w:t>
      </w:r>
    </w:p>
    <w:p w:rsidR="00357C52" w:rsidRDefault="00357C52" w:rsidP="00357C52">
      <w:pPr>
        <w:pStyle w:val="2"/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Ольга САПЕГИНА</w:t>
      </w: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p w:rsidR="00357C52" w:rsidRDefault="00357C52" w:rsidP="00357C52">
      <w:pPr>
        <w:rPr>
          <w:b/>
          <w:sz w:val="28"/>
          <w:szCs w:val="28"/>
          <w:lang w:val="uk-UA"/>
        </w:rPr>
      </w:pPr>
    </w:p>
    <w:sectPr w:rsidR="00357C52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DC" w:rsidRDefault="00ED42DC" w:rsidP="006F1556">
      <w:r>
        <w:separator/>
      </w:r>
    </w:p>
  </w:endnote>
  <w:endnote w:type="continuationSeparator" w:id="0">
    <w:p w:rsidR="00ED42DC" w:rsidRDefault="00ED42D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DC" w:rsidRDefault="00ED42DC" w:rsidP="006F1556">
      <w:r>
        <w:separator/>
      </w:r>
    </w:p>
  </w:footnote>
  <w:footnote w:type="continuationSeparator" w:id="0">
    <w:p w:rsidR="00ED42DC" w:rsidRDefault="00ED42D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F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20CC"/>
    <w:multiLevelType w:val="hybridMultilevel"/>
    <w:tmpl w:val="EF064C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B5225C2"/>
    <w:multiLevelType w:val="hybridMultilevel"/>
    <w:tmpl w:val="05AE2CDA"/>
    <w:lvl w:ilvl="0" w:tplc="39AA7946">
      <w:start w:val="1"/>
      <w:numFmt w:val="decimal"/>
      <w:lvlText w:val="%1."/>
      <w:lvlJc w:val="left"/>
      <w:pPr>
        <w:ind w:left="1753" w:hanging="1044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75AD0"/>
    <w:rsid w:val="000844C0"/>
    <w:rsid w:val="000C47B1"/>
    <w:rsid w:val="000C6601"/>
    <w:rsid w:val="0011419B"/>
    <w:rsid w:val="00130E34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1068"/>
    <w:rsid w:val="002B6D1A"/>
    <w:rsid w:val="002D2EC5"/>
    <w:rsid w:val="002E6BC7"/>
    <w:rsid w:val="003157D2"/>
    <w:rsid w:val="003421AE"/>
    <w:rsid w:val="00357C52"/>
    <w:rsid w:val="00384F81"/>
    <w:rsid w:val="003C318A"/>
    <w:rsid w:val="003D40D1"/>
    <w:rsid w:val="00436A5C"/>
    <w:rsid w:val="00443F3B"/>
    <w:rsid w:val="00445981"/>
    <w:rsid w:val="004C4D9D"/>
    <w:rsid w:val="004D1C6B"/>
    <w:rsid w:val="004D431C"/>
    <w:rsid w:val="00505982"/>
    <w:rsid w:val="00533359"/>
    <w:rsid w:val="005A4F95"/>
    <w:rsid w:val="005B4D12"/>
    <w:rsid w:val="005C6DE5"/>
    <w:rsid w:val="005E6130"/>
    <w:rsid w:val="00667CE8"/>
    <w:rsid w:val="00684E4F"/>
    <w:rsid w:val="006C32BC"/>
    <w:rsid w:val="006F1556"/>
    <w:rsid w:val="00722337"/>
    <w:rsid w:val="00740644"/>
    <w:rsid w:val="007514D5"/>
    <w:rsid w:val="00782DB2"/>
    <w:rsid w:val="007D38A0"/>
    <w:rsid w:val="007E796D"/>
    <w:rsid w:val="00812826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47125"/>
    <w:rsid w:val="00957D4B"/>
    <w:rsid w:val="0096097F"/>
    <w:rsid w:val="0096518D"/>
    <w:rsid w:val="0097578D"/>
    <w:rsid w:val="0098778D"/>
    <w:rsid w:val="00992264"/>
    <w:rsid w:val="009930BA"/>
    <w:rsid w:val="009B753D"/>
    <w:rsid w:val="009C1E94"/>
    <w:rsid w:val="009E65E2"/>
    <w:rsid w:val="00A11ACC"/>
    <w:rsid w:val="00A27B6A"/>
    <w:rsid w:val="00A45826"/>
    <w:rsid w:val="00AC6F08"/>
    <w:rsid w:val="00B07737"/>
    <w:rsid w:val="00B473D5"/>
    <w:rsid w:val="00B60BD2"/>
    <w:rsid w:val="00B753D9"/>
    <w:rsid w:val="00B879E1"/>
    <w:rsid w:val="00B95850"/>
    <w:rsid w:val="00B95EF4"/>
    <w:rsid w:val="00BE73E3"/>
    <w:rsid w:val="00BF3489"/>
    <w:rsid w:val="00C07B6D"/>
    <w:rsid w:val="00C34E48"/>
    <w:rsid w:val="00C639EC"/>
    <w:rsid w:val="00C82260"/>
    <w:rsid w:val="00C93C94"/>
    <w:rsid w:val="00CB280F"/>
    <w:rsid w:val="00CB747E"/>
    <w:rsid w:val="00CD457E"/>
    <w:rsid w:val="00CE1FA6"/>
    <w:rsid w:val="00CF375A"/>
    <w:rsid w:val="00CF6835"/>
    <w:rsid w:val="00D35638"/>
    <w:rsid w:val="00D5708F"/>
    <w:rsid w:val="00D82BD7"/>
    <w:rsid w:val="00D87AB5"/>
    <w:rsid w:val="00E07CE7"/>
    <w:rsid w:val="00E23676"/>
    <w:rsid w:val="00E27E78"/>
    <w:rsid w:val="00E54AC8"/>
    <w:rsid w:val="00E56833"/>
    <w:rsid w:val="00ED42DC"/>
    <w:rsid w:val="00EE7D2B"/>
    <w:rsid w:val="00F1129A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357C5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357C52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357C5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357C5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357C52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357C5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D7F4-A780-43BC-B6BB-5F73DA9D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14</cp:revision>
  <cp:lastPrinted>2020-06-19T13:14:00Z</cp:lastPrinted>
  <dcterms:created xsi:type="dcterms:W3CDTF">2021-02-23T10:18:00Z</dcterms:created>
  <dcterms:modified xsi:type="dcterms:W3CDTF">2021-03-10T12:52:00Z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