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F8" w:rsidRDefault="00477DF8" w:rsidP="002C5D0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33033C" w:rsidRDefault="002C5D03" w:rsidP="002C5D03">
      <w:p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про </w:t>
      </w:r>
      <w:r w:rsidR="00A219AA">
        <w:rPr>
          <w:b/>
          <w:sz w:val="28"/>
          <w:szCs w:val="28"/>
          <w:lang w:val="uk-UA"/>
        </w:rPr>
        <w:t>періодичне</w:t>
      </w:r>
      <w:r w:rsidR="006A7008">
        <w:rPr>
          <w:b/>
          <w:sz w:val="28"/>
          <w:szCs w:val="28"/>
          <w:lang w:val="uk-UA"/>
        </w:rPr>
        <w:t xml:space="preserve"> </w:t>
      </w:r>
      <w:r w:rsidRPr="00AD05C1">
        <w:rPr>
          <w:b/>
          <w:sz w:val="28"/>
          <w:szCs w:val="28"/>
          <w:lang w:val="uk-UA"/>
        </w:rPr>
        <w:t xml:space="preserve"> відстеження рез</w:t>
      </w:r>
      <w:r w:rsidR="00FA5AB7">
        <w:rPr>
          <w:b/>
          <w:sz w:val="28"/>
          <w:szCs w:val="28"/>
          <w:lang w:val="uk-UA"/>
        </w:rPr>
        <w:t>ультативності регуляторного акту</w:t>
      </w:r>
    </w:p>
    <w:p w:rsidR="0033033C" w:rsidRDefault="00583BE6" w:rsidP="002C5D03">
      <w:p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 «</w:t>
      </w:r>
      <w:r w:rsidR="0033033C">
        <w:rPr>
          <w:b/>
          <w:sz w:val="28"/>
          <w:szCs w:val="28"/>
          <w:lang w:val="uk-UA"/>
        </w:rPr>
        <w:t>Рішення виконавчого комітету Лисичанської міської ради</w:t>
      </w:r>
    </w:p>
    <w:p w:rsidR="00324EB9" w:rsidRPr="00AD05C1" w:rsidRDefault="0033033C" w:rsidP="0033033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</w:t>
      </w:r>
      <w:r w:rsidR="00583BE6" w:rsidRPr="00AD05C1">
        <w:rPr>
          <w:b/>
          <w:sz w:val="28"/>
          <w:szCs w:val="28"/>
          <w:lang w:val="uk-UA"/>
        </w:rPr>
        <w:t xml:space="preserve">Про затвердження </w:t>
      </w:r>
      <w:r w:rsidR="00324EB9" w:rsidRPr="00AD05C1">
        <w:rPr>
          <w:b/>
          <w:sz w:val="28"/>
          <w:szCs w:val="28"/>
          <w:lang w:val="uk-UA"/>
        </w:rPr>
        <w:t xml:space="preserve"> П</w:t>
      </w:r>
      <w:r>
        <w:rPr>
          <w:b/>
          <w:sz w:val="28"/>
          <w:szCs w:val="28"/>
          <w:lang w:val="uk-UA"/>
        </w:rPr>
        <w:t>орядку виведення житлових приміщень у будинках державного та громадського житлового фонду в нежилі»</w:t>
      </w:r>
    </w:p>
    <w:p w:rsidR="002C5D03" w:rsidRPr="00AD05C1" w:rsidRDefault="002C5D03" w:rsidP="002C5D03">
      <w:pPr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 </w:t>
      </w:r>
    </w:p>
    <w:p w:rsidR="00584E04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Вид та </w:t>
      </w:r>
      <w:r w:rsidR="00FA5AB7">
        <w:rPr>
          <w:b/>
          <w:sz w:val="28"/>
          <w:szCs w:val="28"/>
          <w:lang w:val="uk-UA"/>
        </w:rPr>
        <w:t>назва регуляторного акту</w:t>
      </w:r>
    </w:p>
    <w:p w:rsidR="002C5D03" w:rsidRPr="00AD05C1" w:rsidRDefault="002C5D03" w:rsidP="00584E04">
      <w:pPr>
        <w:ind w:left="90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C6312C" w:rsidRPr="00C6312C" w:rsidRDefault="00583BE6" w:rsidP="00C6312C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Рішення </w:t>
      </w:r>
      <w:r w:rsidR="0033033C">
        <w:rPr>
          <w:sz w:val="28"/>
          <w:szCs w:val="28"/>
          <w:lang w:val="uk-UA"/>
        </w:rPr>
        <w:t xml:space="preserve"> </w:t>
      </w:r>
      <w:r w:rsidRPr="00AD05C1">
        <w:rPr>
          <w:sz w:val="28"/>
          <w:szCs w:val="28"/>
          <w:lang w:val="uk-UA"/>
        </w:rPr>
        <w:t>виконавчого</w:t>
      </w:r>
      <w:r w:rsidR="0033033C">
        <w:rPr>
          <w:sz w:val="28"/>
          <w:szCs w:val="28"/>
          <w:lang w:val="uk-UA"/>
        </w:rPr>
        <w:t xml:space="preserve"> </w:t>
      </w:r>
      <w:r w:rsidRPr="00AD05C1">
        <w:rPr>
          <w:sz w:val="28"/>
          <w:szCs w:val="28"/>
          <w:lang w:val="uk-UA"/>
        </w:rPr>
        <w:t xml:space="preserve"> комітету Лиси</w:t>
      </w:r>
      <w:r w:rsidR="0033033C">
        <w:rPr>
          <w:sz w:val="28"/>
          <w:szCs w:val="28"/>
          <w:lang w:val="uk-UA"/>
        </w:rPr>
        <w:t>чанської міс</w:t>
      </w:r>
      <w:r w:rsidR="00C6312C">
        <w:rPr>
          <w:sz w:val="28"/>
          <w:szCs w:val="28"/>
          <w:lang w:val="uk-UA"/>
        </w:rPr>
        <w:t>ької ради</w:t>
      </w:r>
      <w:r w:rsidR="00517C88">
        <w:rPr>
          <w:sz w:val="28"/>
          <w:szCs w:val="28"/>
          <w:lang w:val="uk-UA"/>
        </w:rPr>
        <w:t xml:space="preserve"> від  20.12.2016 р. № 549</w:t>
      </w:r>
      <w:r w:rsidR="00C6312C">
        <w:rPr>
          <w:sz w:val="28"/>
          <w:szCs w:val="28"/>
          <w:lang w:val="uk-UA"/>
        </w:rPr>
        <w:t xml:space="preserve"> </w:t>
      </w:r>
      <w:r w:rsidR="00C6312C" w:rsidRPr="00C6312C">
        <w:rPr>
          <w:sz w:val="28"/>
          <w:szCs w:val="28"/>
          <w:lang w:val="uk-UA"/>
        </w:rPr>
        <w:t>«Про затвердження  Порядку виведення житлових приміщень у будинках державного та громадського житлового фонду в нежилі»</w:t>
      </w:r>
      <w:r w:rsidR="00C6312C">
        <w:rPr>
          <w:sz w:val="28"/>
          <w:szCs w:val="28"/>
          <w:lang w:val="uk-UA"/>
        </w:rPr>
        <w:t>.</w:t>
      </w:r>
    </w:p>
    <w:p w:rsidR="002C5D03" w:rsidRPr="00AD05C1" w:rsidRDefault="002C5D03" w:rsidP="002C5D03">
      <w:pPr>
        <w:ind w:firstLine="540"/>
        <w:jc w:val="both"/>
        <w:rPr>
          <w:sz w:val="28"/>
          <w:szCs w:val="28"/>
          <w:lang w:val="uk-UA"/>
        </w:rPr>
      </w:pPr>
    </w:p>
    <w:p w:rsidR="00584E04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Виконавець заходів відстеження</w:t>
      </w:r>
    </w:p>
    <w:p w:rsidR="002C5D03" w:rsidRPr="00AD05C1" w:rsidRDefault="002C5D03" w:rsidP="00584E04">
      <w:pPr>
        <w:ind w:left="90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2C5D03" w:rsidRPr="00AD05C1" w:rsidRDefault="00A219AA" w:rsidP="002C5D0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CF3614">
        <w:rPr>
          <w:sz w:val="28"/>
          <w:szCs w:val="28"/>
          <w:lang w:val="uk-UA"/>
        </w:rPr>
        <w:t xml:space="preserve">правління житлово-комунального господарства Лисичанської міської військово-цивільної адміністрації </w:t>
      </w:r>
      <w:proofErr w:type="spellStart"/>
      <w:r w:rsidRPr="00CF3614">
        <w:rPr>
          <w:sz w:val="28"/>
          <w:szCs w:val="28"/>
          <w:lang w:val="uk-UA"/>
        </w:rPr>
        <w:t>Сєвєродонецького</w:t>
      </w:r>
      <w:proofErr w:type="spellEnd"/>
      <w:r w:rsidRPr="00CF3614">
        <w:rPr>
          <w:sz w:val="28"/>
          <w:szCs w:val="28"/>
          <w:lang w:val="uk-UA"/>
        </w:rPr>
        <w:t xml:space="preserve"> району Луганської області</w:t>
      </w:r>
      <w:r>
        <w:rPr>
          <w:sz w:val="28"/>
          <w:szCs w:val="28"/>
          <w:lang w:val="uk-UA"/>
        </w:rPr>
        <w:t>.</w:t>
      </w:r>
    </w:p>
    <w:p w:rsidR="00584E04" w:rsidRDefault="00034100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Цілі прийняття акту</w:t>
      </w:r>
    </w:p>
    <w:p w:rsidR="002C5D03" w:rsidRPr="00AD05C1" w:rsidRDefault="002C5D03" w:rsidP="00584E04">
      <w:pPr>
        <w:ind w:left="90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583BE6" w:rsidRPr="00056FF5" w:rsidRDefault="00584E04" w:rsidP="00317FF0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Основна мета регуляторного акту </w:t>
      </w:r>
      <w:r w:rsidR="00056FF5">
        <w:rPr>
          <w:sz w:val="28"/>
          <w:szCs w:val="28"/>
          <w:lang w:val="uk-UA"/>
        </w:rPr>
        <w:t>направлена на врегулювання прав та обов’язків учасників правовідносин у містобудівній сфері, а саме</w:t>
      </w:r>
      <w:r>
        <w:rPr>
          <w:sz w:val="28"/>
          <w:szCs w:val="28"/>
          <w:lang w:val="uk-UA"/>
        </w:rPr>
        <w:t xml:space="preserve"> -</w:t>
      </w:r>
      <w:r w:rsidR="00056FF5">
        <w:rPr>
          <w:sz w:val="28"/>
          <w:szCs w:val="28"/>
          <w:lang w:val="uk-UA"/>
        </w:rPr>
        <w:t xml:space="preserve"> на законну реалізацію прав, свобод і законних інтересів фізичних та юридичних осіб з питань виведення житлових приміщень у будинках державного та громадського</w:t>
      </w:r>
      <w:r w:rsidR="00F01D0F">
        <w:rPr>
          <w:sz w:val="28"/>
          <w:szCs w:val="28"/>
          <w:lang w:val="uk-UA"/>
        </w:rPr>
        <w:t xml:space="preserve">  </w:t>
      </w:r>
      <w:r w:rsidR="00056FF5">
        <w:rPr>
          <w:sz w:val="28"/>
          <w:szCs w:val="28"/>
          <w:lang w:val="uk-UA"/>
        </w:rPr>
        <w:t xml:space="preserve"> житлового</w:t>
      </w:r>
      <w:r w:rsidR="00F01D0F">
        <w:rPr>
          <w:sz w:val="28"/>
          <w:szCs w:val="28"/>
          <w:lang w:val="uk-UA"/>
        </w:rPr>
        <w:t xml:space="preserve"> </w:t>
      </w:r>
      <w:r w:rsidR="00056FF5">
        <w:rPr>
          <w:sz w:val="28"/>
          <w:szCs w:val="28"/>
          <w:lang w:val="uk-UA"/>
        </w:rPr>
        <w:t xml:space="preserve"> фонду </w:t>
      </w:r>
      <w:r w:rsidR="00F01D0F">
        <w:rPr>
          <w:sz w:val="28"/>
          <w:szCs w:val="28"/>
          <w:lang w:val="uk-UA"/>
        </w:rPr>
        <w:t xml:space="preserve"> </w:t>
      </w:r>
      <w:r w:rsidR="00056FF5">
        <w:rPr>
          <w:sz w:val="28"/>
          <w:szCs w:val="28"/>
          <w:lang w:val="uk-UA"/>
        </w:rPr>
        <w:t>в нежилі,</w:t>
      </w:r>
      <w:r w:rsidR="00F01D0F">
        <w:rPr>
          <w:sz w:val="28"/>
          <w:szCs w:val="28"/>
          <w:lang w:val="uk-UA"/>
        </w:rPr>
        <w:t xml:space="preserve"> </w:t>
      </w:r>
      <w:r w:rsidR="00056FF5">
        <w:rPr>
          <w:sz w:val="28"/>
          <w:szCs w:val="28"/>
          <w:lang w:val="uk-UA"/>
        </w:rPr>
        <w:t xml:space="preserve"> переобладнання</w:t>
      </w:r>
      <w:r w:rsidR="00F01D0F">
        <w:rPr>
          <w:sz w:val="28"/>
          <w:szCs w:val="28"/>
          <w:lang w:val="uk-UA"/>
        </w:rPr>
        <w:t xml:space="preserve"> жилих будинків і жилих приміщень та використання їх в інших цілях, забезпечення сталого функціонування та розвитку під</w:t>
      </w:r>
      <w:r w:rsidR="00034100">
        <w:rPr>
          <w:sz w:val="28"/>
          <w:szCs w:val="28"/>
          <w:lang w:val="uk-UA"/>
        </w:rPr>
        <w:t>приємництва у містах Лисичанськ, Новодружеськ, Привілля</w:t>
      </w:r>
      <w:r w:rsidR="00F01D0F">
        <w:rPr>
          <w:sz w:val="28"/>
          <w:szCs w:val="28"/>
          <w:lang w:val="uk-UA"/>
        </w:rPr>
        <w:t>.</w:t>
      </w:r>
    </w:p>
    <w:p w:rsidR="00583BE6" w:rsidRPr="00AD05C1" w:rsidRDefault="00583BE6" w:rsidP="002C5D03">
      <w:pPr>
        <w:ind w:firstLine="540"/>
        <w:jc w:val="both"/>
        <w:rPr>
          <w:sz w:val="28"/>
          <w:szCs w:val="28"/>
          <w:lang w:val="uk-UA"/>
        </w:rPr>
      </w:pPr>
    </w:p>
    <w:p w:rsidR="00584E04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Строк виконання заходів з відстеження</w:t>
      </w:r>
    </w:p>
    <w:p w:rsidR="002C5D03" w:rsidRPr="00AD05C1" w:rsidRDefault="002C5D03" w:rsidP="00584E04">
      <w:pPr>
        <w:ind w:left="54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2C5D03" w:rsidRPr="0003434C" w:rsidRDefault="00A219AA" w:rsidP="002C5D0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27</w:t>
      </w:r>
      <w:r w:rsidR="0003434C" w:rsidRPr="0003434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="0003434C" w:rsidRPr="0003434C">
        <w:rPr>
          <w:sz w:val="28"/>
          <w:szCs w:val="28"/>
          <w:lang w:val="uk-UA"/>
        </w:rPr>
        <w:t>.2018 по 2</w:t>
      </w:r>
      <w:r>
        <w:rPr>
          <w:sz w:val="28"/>
          <w:szCs w:val="28"/>
          <w:lang w:val="uk-UA"/>
        </w:rPr>
        <w:t>7.03.2021</w:t>
      </w:r>
      <w:r w:rsidR="009E1ED9" w:rsidRPr="0003434C">
        <w:rPr>
          <w:sz w:val="28"/>
          <w:szCs w:val="28"/>
          <w:lang w:val="uk-UA"/>
        </w:rPr>
        <w:t>.</w:t>
      </w:r>
    </w:p>
    <w:p w:rsidR="002C5D03" w:rsidRPr="00AD05C1" w:rsidRDefault="002C5D03" w:rsidP="002C5D03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 </w:t>
      </w:r>
    </w:p>
    <w:p w:rsidR="002C5D03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Тип відстеження</w:t>
      </w:r>
    </w:p>
    <w:p w:rsidR="002C5D03" w:rsidRPr="00AD05C1" w:rsidRDefault="00686AE7" w:rsidP="002C5D0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219AA">
        <w:rPr>
          <w:sz w:val="28"/>
          <w:szCs w:val="28"/>
          <w:lang w:val="uk-UA"/>
        </w:rPr>
        <w:t>еріодичне</w:t>
      </w:r>
      <w:r w:rsidR="00477DF8">
        <w:rPr>
          <w:sz w:val="28"/>
          <w:szCs w:val="28"/>
          <w:lang w:val="uk-UA"/>
        </w:rPr>
        <w:t xml:space="preserve"> відстеження</w:t>
      </w:r>
      <w:r w:rsidR="00A219AA">
        <w:rPr>
          <w:sz w:val="28"/>
          <w:szCs w:val="28"/>
          <w:lang w:val="uk-UA"/>
        </w:rPr>
        <w:t>.</w:t>
      </w:r>
      <w:r w:rsidR="00477DF8">
        <w:rPr>
          <w:sz w:val="28"/>
          <w:szCs w:val="28"/>
          <w:lang w:val="uk-UA"/>
        </w:rPr>
        <w:t xml:space="preserve"> </w:t>
      </w:r>
    </w:p>
    <w:p w:rsidR="002C5D03" w:rsidRPr="00AD05C1" w:rsidRDefault="002C5D03" w:rsidP="002C5D03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 </w:t>
      </w:r>
    </w:p>
    <w:p w:rsidR="002C5D03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Методи одержання результатів відстеження</w:t>
      </w:r>
    </w:p>
    <w:p w:rsidR="00584E04" w:rsidRPr="00AD05C1" w:rsidRDefault="00584E04" w:rsidP="00584E04">
      <w:pPr>
        <w:ind w:left="900"/>
        <w:jc w:val="both"/>
        <w:rPr>
          <w:b/>
          <w:sz w:val="28"/>
          <w:szCs w:val="28"/>
          <w:lang w:val="uk-UA"/>
        </w:rPr>
      </w:pPr>
    </w:p>
    <w:p w:rsidR="00A167D6" w:rsidRDefault="00477DF8" w:rsidP="00CA28CD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219AA">
        <w:rPr>
          <w:sz w:val="28"/>
          <w:szCs w:val="28"/>
          <w:lang w:val="uk-UA"/>
        </w:rPr>
        <w:t>еріодичне</w:t>
      </w:r>
      <w:r>
        <w:rPr>
          <w:sz w:val="28"/>
          <w:szCs w:val="28"/>
          <w:lang w:val="uk-UA"/>
        </w:rPr>
        <w:t xml:space="preserve"> </w:t>
      </w:r>
      <w:r w:rsidR="003B2818" w:rsidRPr="00AD05C1">
        <w:rPr>
          <w:sz w:val="28"/>
          <w:szCs w:val="28"/>
          <w:lang w:val="uk-UA"/>
        </w:rPr>
        <w:t>відстеження результативності</w:t>
      </w:r>
      <w:r w:rsidR="00F01D0F" w:rsidRPr="00F01D0F">
        <w:rPr>
          <w:sz w:val="28"/>
          <w:szCs w:val="28"/>
          <w:lang w:val="uk-UA"/>
        </w:rPr>
        <w:t xml:space="preserve"> </w:t>
      </w:r>
      <w:r w:rsidR="00F01D0F" w:rsidRPr="00C6312C">
        <w:rPr>
          <w:sz w:val="28"/>
          <w:szCs w:val="28"/>
          <w:lang w:val="uk-UA"/>
        </w:rPr>
        <w:t>Порядку виведення житлових приміщень у будинках державного та громад</w:t>
      </w:r>
      <w:r w:rsidR="00F01D0F">
        <w:rPr>
          <w:sz w:val="28"/>
          <w:szCs w:val="28"/>
          <w:lang w:val="uk-UA"/>
        </w:rPr>
        <w:t xml:space="preserve">ського житлового фонду в нежилі, </w:t>
      </w:r>
      <w:r w:rsidR="003B2818" w:rsidRPr="00AD05C1">
        <w:rPr>
          <w:sz w:val="28"/>
          <w:szCs w:val="28"/>
          <w:lang w:val="uk-UA"/>
        </w:rPr>
        <w:t xml:space="preserve"> </w:t>
      </w:r>
      <w:r w:rsidR="00F01D0F">
        <w:rPr>
          <w:sz w:val="28"/>
          <w:szCs w:val="28"/>
          <w:lang w:val="uk-UA"/>
        </w:rPr>
        <w:t>затвердженого</w:t>
      </w:r>
      <w:r w:rsidR="00B143A7" w:rsidRPr="00AD05C1">
        <w:rPr>
          <w:sz w:val="28"/>
          <w:szCs w:val="28"/>
          <w:lang w:val="uk-UA"/>
        </w:rPr>
        <w:t xml:space="preserve"> </w:t>
      </w:r>
      <w:r w:rsidR="00EB6D1B">
        <w:rPr>
          <w:sz w:val="28"/>
          <w:szCs w:val="28"/>
          <w:lang w:val="uk-UA"/>
        </w:rPr>
        <w:t xml:space="preserve"> </w:t>
      </w:r>
      <w:r w:rsidR="00B143A7" w:rsidRPr="00AD05C1">
        <w:rPr>
          <w:sz w:val="28"/>
          <w:szCs w:val="28"/>
          <w:lang w:val="uk-UA"/>
        </w:rPr>
        <w:t>рішенням виконавчого комітету Лисичанської міської</w:t>
      </w:r>
      <w:r w:rsidR="00EB6D1B">
        <w:rPr>
          <w:sz w:val="28"/>
          <w:szCs w:val="28"/>
          <w:lang w:val="uk-UA"/>
        </w:rPr>
        <w:t xml:space="preserve"> </w:t>
      </w:r>
      <w:r w:rsidR="00B143A7" w:rsidRPr="00AD05C1">
        <w:rPr>
          <w:sz w:val="28"/>
          <w:szCs w:val="28"/>
          <w:lang w:val="uk-UA"/>
        </w:rPr>
        <w:t xml:space="preserve"> </w:t>
      </w:r>
      <w:r w:rsidR="00517C88">
        <w:rPr>
          <w:sz w:val="28"/>
          <w:szCs w:val="28"/>
          <w:lang w:val="uk-UA"/>
        </w:rPr>
        <w:t>ради від  20.12.</w:t>
      </w:r>
      <w:r w:rsidR="00EB6D1B">
        <w:rPr>
          <w:sz w:val="28"/>
          <w:szCs w:val="28"/>
          <w:lang w:val="uk-UA"/>
        </w:rPr>
        <w:t>2016 р.</w:t>
      </w:r>
      <w:r w:rsidR="00F01D0F">
        <w:rPr>
          <w:sz w:val="28"/>
          <w:szCs w:val="28"/>
          <w:lang w:val="uk-UA"/>
        </w:rPr>
        <w:t xml:space="preserve"> </w:t>
      </w:r>
      <w:r w:rsidR="00B143A7" w:rsidRPr="00AD05C1">
        <w:rPr>
          <w:sz w:val="28"/>
          <w:szCs w:val="28"/>
          <w:lang w:val="uk-UA"/>
        </w:rPr>
        <w:t>№</w:t>
      </w:r>
      <w:r w:rsidR="00517C88">
        <w:rPr>
          <w:sz w:val="28"/>
          <w:szCs w:val="28"/>
          <w:lang w:val="uk-UA"/>
        </w:rPr>
        <w:t xml:space="preserve"> 549</w:t>
      </w:r>
      <w:r w:rsidR="008B215D">
        <w:rPr>
          <w:sz w:val="28"/>
          <w:szCs w:val="28"/>
          <w:lang w:val="uk-UA"/>
        </w:rPr>
        <w:t>,</w:t>
      </w:r>
      <w:r w:rsidR="005C7803">
        <w:rPr>
          <w:sz w:val="28"/>
          <w:szCs w:val="28"/>
          <w:lang w:val="uk-UA"/>
        </w:rPr>
        <w:t xml:space="preserve"> </w:t>
      </w:r>
      <w:r w:rsidR="00E60028" w:rsidRPr="00AD05C1">
        <w:rPr>
          <w:sz w:val="28"/>
          <w:szCs w:val="28"/>
          <w:lang w:val="uk-UA"/>
        </w:rPr>
        <w:t>здійсню</w:t>
      </w:r>
      <w:r w:rsidR="00A167D6" w:rsidRPr="00AD05C1">
        <w:rPr>
          <w:sz w:val="28"/>
          <w:szCs w:val="28"/>
          <w:lang w:val="uk-UA"/>
        </w:rPr>
        <w:t>валося на підставі</w:t>
      </w:r>
      <w:r w:rsidR="008B215D">
        <w:rPr>
          <w:sz w:val="28"/>
          <w:szCs w:val="28"/>
          <w:lang w:val="uk-UA"/>
        </w:rPr>
        <w:t xml:space="preserve"> кількісних показників</w:t>
      </w:r>
      <w:r w:rsidR="006A7008">
        <w:rPr>
          <w:sz w:val="28"/>
          <w:szCs w:val="28"/>
          <w:lang w:val="uk-UA"/>
        </w:rPr>
        <w:t>,</w:t>
      </w:r>
      <w:r w:rsidR="008B21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</w:t>
      </w:r>
      <w:r w:rsidR="008B215D">
        <w:rPr>
          <w:sz w:val="28"/>
          <w:szCs w:val="28"/>
          <w:lang w:val="uk-UA"/>
        </w:rPr>
        <w:t xml:space="preserve"> свідчать про реалізацію фізичними та юридичними особами своїх прав та законних інтересів щодо використання приміщень, а також сприяють сталому функціонуванню та розвитку підприємництва.</w:t>
      </w:r>
    </w:p>
    <w:p w:rsidR="008B215D" w:rsidRPr="00AD05C1" w:rsidRDefault="008B215D" w:rsidP="00CA28CD">
      <w:pPr>
        <w:ind w:firstLine="540"/>
        <w:jc w:val="both"/>
        <w:rPr>
          <w:sz w:val="28"/>
          <w:szCs w:val="28"/>
          <w:lang w:val="uk-UA"/>
        </w:rPr>
      </w:pPr>
    </w:p>
    <w:p w:rsidR="00584E04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Дані та припущення, на основі яких відстежувалася результативність, а також способи одержаних даних</w:t>
      </w:r>
    </w:p>
    <w:p w:rsidR="002C5D03" w:rsidRPr="00AD05C1" w:rsidRDefault="002C5D03" w:rsidP="00584E04">
      <w:pPr>
        <w:ind w:left="90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B81E8E" w:rsidRPr="00AD05C1" w:rsidRDefault="007339AB" w:rsidP="002C5D03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>Результати регуляторного акт</w:t>
      </w:r>
      <w:r w:rsidR="00276E80">
        <w:rPr>
          <w:sz w:val="28"/>
          <w:szCs w:val="28"/>
          <w:lang w:val="uk-UA"/>
        </w:rPr>
        <w:t>у</w:t>
      </w:r>
      <w:r w:rsidRPr="00AD05C1">
        <w:rPr>
          <w:sz w:val="28"/>
          <w:szCs w:val="28"/>
          <w:lang w:val="uk-UA"/>
        </w:rPr>
        <w:t xml:space="preserve"> одержані на підставі аналізу чинного законодавства шляхом збору і аналізу проп</w:t>
      </w:r>
      <w:r w:rsidR="008B215D">
        <w:rPr>
          <w:sz w:val="28"/>
          <w:szCs w:val="28"/>
          <w:lang w:val="uk-UA"/>
        </w:rPr>
        <w:t>озицій  зацікавлених фізичних та юридичних осіб</w:t>
      </w:r>
      <w:r w:rsidR="00CA3933">
        <w:rPr>
          <w:sz w:val="28"/>
          <w:szCs w:val="28"/>
          <w:lang w:val="uk-UA"/>
        </w:rPr>
        <w:t xml:space="preserve"> </w:t>
      </w:r>
      <w:r w:rsidRPr="00AD05C1">
        <w:rPr>
          <w:sz w:val="28"/>
          <w:szCs w:val="28"/>
          <w:lang w:val="uk-UA"/>
        </w:rPr>
        <w:t xml:space="preserve"> міста. </w:t>
      </w:r>
    </w:p>
    <w:p w:rsidR="000B4B09" w:rsidRPr="00AD05C1" w:rsidRDefault="00CA3933" w:rsidP="00CA39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B6D1B">
        <w:rPr>
          <w:sz w:val="28"/>
          <w:szCs w:val="28"/>
          <w:lang w:val="uk-UA"/>
        </w:rPr>
        <w:t>Проект цього регуляторного акту</w:t>
      </w:r>
      <w:r w:rsidR="000B4B09" w:rsidRPr="00AD05C1">
        <w:rPr>
          <w:sz w:val="28"/>
          <w:szCs w:val="28"/>
          <w:lang w:val="uk-UA"/>
        </w:rPr>
        <w:t xml:space="preserve">  розміщувався на офіційному сайті Лисичанської міської ради у мережі Інтернет. Так</w:t>
      </w:r>
      <w:r w:rsidR="00477DF8">
        <w:rPr>
          <w:sz w:val="28"/>
          <w:szCs w:val="28"/>
          <w:lang w:val="uk-UA"/>
        </w:rPr>
        <w:t>,</w:t>
      </w:r>
      <w:r w:rsidR="000B4B09" w:rsidRPr="00AD05C1">
        <w:rPr>
          <w:sz w:val="28"/>
          <w:szCs w:val="28"/>
          <w:lang w:val="uk-UA"/>
        </w:rPr>
        <w:t xml:space="preserve"> за період відстеження до проекту рішення виконавчого комітету Лисичанської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CA3933">
        <w:rPr>
          <w:sz w:val="28"/>
          <w:szCs w:val="28"/>
          <w:lang w:val="uk-UA"/>
        </w:rPr>
        <w:t>«Про затвердження  Порядку виведення житлових приміщень у будинках державного та громад</w:t>
      </w:r>
      <w:r>
        <w:rPr>
          <w:sz w:val="28"/>
          <w:szCs w:val="28"/>
          <w:lang w:val="uk-UA"/>
        </w:rPr>
        <w:t>ського житлового фонду»</w:t>
      </w:r>
      <w:r w:rsidR="00A45AC2">
        <w:rPr>
          <w:sz w:val="28"/>
          <w:szCs w:val="28"/>
          <w:lang w:val="uk-UA"/>
        </w:rPr>
        <w:t>,</w:t>
      </w:r>
      <w:r w:rsidR="00286690" w:rsidRPr="00AD05C1">
        <w:rPr>
          <w:sz w:val="28"/>
          <w:szCs w:val="28"/>
          <w:lang w:val="uk-UA"/>
        </w:rPr>
        <w:t xml:space="preserve"> на адресу розробників регуляторного акту зауважень та пропозицій не надходило.</w:t>
      </w:r>
      <w:r w:rsidR="000B4B09" w:rsidRPr="00AD05C1">
        <w:rPr>
          <w:sz w:val="28"/>
          <w:szCs w:val="28"/>
          <w:lang w:val="uk-UA"/>
        </w:rPr>
        <w:t xml:space="preserve"> </w:t>
      </w:r>
    </w:p>
    <w:p w:rsidR="000B4B09" w:rsidRPr="00AD05C1" w:rsidRDefault="000B4B09" w:rsidP="002C5D03">
      <w:pPr>
        <w:ind w:firstLine="540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 xml:space="preserve"> </w:t>
      </w:r>
    </w:p>
    <w:p w:rsidR="00584E04" w:rsidRDefault="00584E04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Кількісні  показники</w:t>
      </w:r>
      <w:r w:rsidR="002C5D03" w:rsidRPr="00AD05C1">
        <w:rPr>
          <w:b/>
          <w:sz w:val="28"/>
          <w:szCs w:val="28"/>
          <w:lang w:val="uk-UA"/>
        </w:rPr>
        <w:t xml:space="preserve"> результативності акт</w:t>
      </w:r>
      <w:r w:rsidR="005C7803">
        <w:rPr>
          <w:b/>
          <w:sz w:val="28"/>
          <w:szCs w:val="28"/>
          <w:lang w:val="uk-UA"/>
        </w:rPr>
        <w:t>у</w:t>
      </w:r>
    </w:p>
    <w:p w:rsidR="00584E04" w:rsidRDefault="00584E04" w:rsidP="00584E04">
      <w:pPr>
        <w:ind w:left="900"/>
        <w:jc w:val="both"/>
        <w:rPr>
          <w:b/>
          <w:sz w:val="28"/>
          <w:szCs w:val="28"/>
          <w:lang w:val="uk-UA"/>
        </w:rPr>
      </w:pPr>
    </w:p>
    <w:p w:rsidR="002C5D03" w:rsidRPr="00584E04" w:rsidRDefault="00584E04" w:rsidP="00584E04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584E04">
        <w:rPr>
          <w:sz w:val="28"/>
          <w:szCs w:val="28"/>
          <w:lang w:val="uk-UA"/>
        </w:rPr>
        <w:t>Показники</w:t>
      </w:r>
      <w:r w:rsidR="00686AE7">
        <w:rPr>
          <w:sz w:val="28"/>
          <w:szCs w:val="28"/>
          <w:lang w:val="uk-UA"/>
        </w:rPr>
        <w:t>,</w:t>
      </w:r>
      <w:r w:rsidR="003C184D" w:rsidRPr="00AD05C1">
        <w:rPr>
          <w:b/>
          <w:sz w:val="28"/>
          <w:szCs w:val="28"/>
          <w:lang w:val="uk-UA"/>
        </w:rPr>
        <w:t xml:space="preserve"> </w:t>
      </w:r>
      <w:r w:rsidR="003C184D" w:rsidRPr="00AD05C1">
        <w:rPr>
          <w:sz w:val="28"/>
          <w:szCs w:val="28"/>
          <w:lang w:val="uk-UA"/>
        </w:rPr>
        <w:t>які</w:t>
      </w:r>
      <w:r>
        <w:rPr>
          <w:b/>
          <w:sz w:val="28"/>
          <w:szCs w:val="28"/>
          <w:lang w:val="uk-UA"/>
        </w:rPr>
        <w:t xml:space="preserve"> </w:t>
      </w:r>
      <w:r w:rsidR="003C184D" w:rsidRPr="00AD05C1">
        <w:rPr>
          <w:sz w:val="28"/>
          <w:szCs w:val="28"/>
          <w:lang w:val="uk-UA"/>
        </w:rPr>
        <w:t>характеризують результативність даного регуляторного акту, будуть базовими при проведенні заходів з п</w:t>
      </w:r>
      <w:r w:rsidR="00A219AA">
        <w:rPr>
          <w:sz w:val="28"/>
          <w:szCs w:val="28"/>
          <w:lang w:val="uk-UA"/>
        </w:rPr>
        <w:t>еріодичного</w:t>
      </w:r>
      <w:r w:rsidR="003C184D" w:rsidRPr="00AD05C1">
        <w:rPr>
          <w:sz w:val="28"/>
          <w:szCs w:val="28"/>
          <w:lang w:val="uk-UA"/>
        </w:rPr>
        <w:t xml:space="preserve"> відстеження результативності:</w:t>
      </w:r>
    </w:p>
    <w:p w:rsidR="003C184D" w:rsidRPr="00AD05C1" w:rsidRDefault="003C184D" w:rsidP="002C5D03">
      <w:pPr>
        <w:ind w:firstLine="540"/>
        <w:jc w:val="both"/>
        <w:rPr>
          <w:sz w:val="28"/>
          <w:szCs w:val="28"/>
          <w:lang w:val="uk-UA"/>
        </w:rPr>
      </w:pP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276"/>
        <w:gridCol w:w="1559"/>
        <w:gridCol w:w="1559"/>
        <w:gridCol w:w="1560"/>
      </w:tblGrid>
      <w:tr w:rsidR="00057989" w:rsidTr="00837483">
        <w:trPr>
          <w:trHeight w:val="2334"/>
        </w:trPr>
        <w:tc>
          <w:tcPr>
            <w:tcW w:w="1277" w:type="dxa"/>
          </w:tcPr>
          <w:p w:rsidR="00057989" w:rsidRPr="009F2F6B" w:rsidRDefault="00057989" w:rsidP="009F2F6B">
            <w:pPr>
              <w:rPr>
                <w:sz w:val="23"/>
                <w:szCs w:val="23"/>
                <w:lang w:val="uk-UA"/>
              </w:rPr>
            </w:pPr>
            <w:r w:rsidRPr="009F2F6B">
              <w:rPr>
                <w:sz w:val="23"/>
                <w:szCs w:val="23"/>
                <w:lang w:val="uk-UA"/>
              </w:rPr>
              <w:t>Кількість будинків, од.</w:t>
            </w:r>
          </w:p>
        </w:tc>
        <w:tc>
          <w:tcPr>
            <w:tcW w:w="1275" w:type="dxa"/>
          </w:tcPr>
          <w:p w:rsidR="00057989" w:rsidRPr="009F2F6B" w:rsidRDefault="00057989" w:rsidP="009F2F6B">
            <w:pPr>
              <w:rPr>
                <w:sz w:val="23"/>
                <w:szCs w:val="23"/>
                <w:lang w:val="uk-UA"/>
              </w:rPr>
            </w:pPr>
            <w:r w:rsidRPr="009F2F6B">
              <w:rPr>
                <w:sz w:val="23"/>
                <w:szCs w:val="23"/>
                <w:lang w:val="uk-UA"/>
              </w:rPr>
              <w:t>Кількість квартир, од.</w:t>
            </w:r>
          </w:p>
        </w:tc>
        <w:tc>
          <w:tcPr>
            <w:tcW w:w="1276" w:type="dxa"/>
          </w:tcPr>
          <w:p w:rsidR="00057989" w:rsidRPr="009F2F6B" w:rsidRDefault="00057989" w:rsidP="009F2F6B">
            <w:pPr>
              <w:rPr>
                <w:sz w:val="23"/>
                <w:szCs w:val="23"/>
                <w:lang w:val="uk-UA"/>
              </w:rPr>
            </w:pPr>
            <w:r w:rsidRPr="009F2F6B">
              <w:rPr>
                <w:sz w:val="23"/>
                <w:szCs w:val="23"/>
                <w:lang w:val="uk-UA"/>
              </w:rPr>
              <w:t>Кількість приватизованих квартир, од.</w:t>
            </w:r>
          </w:p>
        </w:tc>
        <w:tc>
          <w:tcPr>
            <w:tcW w:w="1276" w:type="dxa"/>
          </w:tcPr>
          <w:p w:rsidR="00057989" w:rsidRPr="009F2F6B" w:rsidRDefault="00057989" w:rsidP="009F2F6B">
            <w:pPr>
              <w:rPr>
                <w:sz w:val="23"/>
                <w:szCs w:val="23"/>
                <w:lang w:val="uk-UA"/>
              </w:rPr>
            </w:pPr>
            <w:r w:rsidRPr="009F2F6B">
              <w:rPr>
                <w:sz w:val="23"/>
                <w:szCs w:val="23"/>
                <w:lang w:val="uk-UA"/>
              </w:rPr>
              <w:t>Кількість не приватизованих квартир, од.</w:t>
            </w:r>
          </w:p>
        </w:tc>
        <w:tc>
          <w:tcPr>
            <w:tcW w:w="1559" w:type="dxa"/>
          </w:tcPr>
          <w:p w:rsidR="00057989" w:rsidRPr="009F2F6B" w:rsidRDefault="00057989" w:rsidP="009F2F6B">
            <w:pPr>
              <w:rPr>
                <w:sz w:val="23"/>
                <w:szCs w:val="23"/>
                <w:lang w:val="uk-UA"/>
              </w:rPr>
            </w:pPr>
            <w:r w:rsidRPr="009F2F6B">
              <w:rPr>
                <w:sz w:val="23"/>
                <w:szCs w:val="23"/>
                <w:lang w:val="uk-UA"/>
              </w:rPr>
              <w:t>Кількість кварти</w:t>
            </w:r>
            <w:r>
              <w:rPr>
                <w:sz w:val="23"/>
                <w:szCs w:val="23"/>
                <w:lang w:val="uk-UA"/>
              </w:rPr>
              <w:t>р, виведених з житлового фонду в</w:t>
            </w:r>
            <w:r w:rsidRPr="009F2F6B">
              <w:rPr>
                <w:sz w:val="23"/>
                <w:szCs w:val="23"/>
                <w:lang w:val="uk-UA"/>
              </w:rPr>
              <w:t xml:space="preserve"> 2018 р., од.</w:t>
            </w:r>
          </w:p>
        </w:tc>
        <w:tc>
          <w:tcPr>
            <w:tcW w:w="1559" w:type="dxa"/>
          </w:tcPr>
          <w:p w:rsidR="00057989" w:rsidRPr="009F2F6B" w:rsidRDefault="00057989" w:rsidP="009F2F6B">
            <w:pPr>
              <w:rPr>
                <w:sz w:val="23"/>
                <w:szCs w:val="23"/>
                <w:lang w:val="uk-UA"/>
              </w:rPr>
            </w:pPr>
            <w:r w:rsidRPr="009F2F6B">
              <w:rPr>
                <w:sz w:val="23"/>
                <w:szCs w:val="23"/>
                <w:lang w:val="uk-UA"/>
              </w:rPr>
              <w:t>Кількість кварти</w:t>
            </w:r>
            <w:r>
              <w:rPr>
                <w:sz w:val="23"/>
                <w:szCs w:val="23"/>
                <w:lang w:val="uk-UA"/>
              </w:rPr>
              <w:t>р, виведених з житлового фонду в</w:t>
            </w:r>
            <w:r w:rsidRPr="009F2F6B">
              <w:rPr>
                <w:sz w:val="23"/>
                <w:szCs w:val="23"/>
                <w:lang w:val="uk-UA"/>
              </w:rPr>
              <w:t xml:space="preserve"> 2019 р., од.</w:t>
            </w:r>
          </w:p>
        </w:tc>
        <w:tc>
          <w:tcPr>
            <w:tcW w:w="1560" w:type="dxa"/>
            <w:shd w:val="clear" w:color="auto" w:fill="auto"/>
          </w:tcPr>
          <w:p w:rsidR="00057989" w:rsidRPr="009F2F6B" w:rsidRDefault="00057989" w:rsidP="00CE25D6">
            <w:pPr>
              <w:rPr>
                <w:sz w:val="23"/>
                <w:szCs w:val="23"/>
              </w:rPr>
            </w:pPr>
            <w:r w:rsidRPr="009F2F6B">
              <w:rPr>
                <w:sz w:val="23"/>
                <w:szCs w:val="23"/>
                <w:lang w:val="uk-UA"/>
              </w:rPr>
              <w:t xml:space="preserve">Кількість квартир, виведених з житлового фонду </w:t>
            </w:r>
            <w:r>
              <w:rPr>
                <w:sz w:val="23"/>
                <w:szCs w:val="23"/>
                <w:lang w:val="uk-UA"/>
              </w:rPr>
              <w:t>в</w:t>
            </w:r>
            <w:r w:rsidRPr="009F2F6B">
              <w:rPr>
                <w:sz w:val="23"/>
                <w:szCs w:val="23"/>
                <w:lang w:val="uk-UA"/>
              </w:rPr>
              <w:t xml:space="preserve"> 2020 р., од.</w:t>
            </w:r>
          </w:p>
        </w:tc>
      </w:tr>
      <w:tr w:rsidR="00057989" w:rsidRPr="00584E04" w:rsidTr="00BF05EA">
        <w:tc>
          <w:tcPr>
            <w:tcW w:w="1277" w:type="dxa"/>
          </w:tcPr>
          <w:p w:rsidR="00057989" w:rsidRPr="009F2F6B" w:rsidRDefault="00057989" w:rsidP="001F400B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792</w:t>
            </w:r>
          </w:p>
        </w:tc>
        <w:tc>
          <w:tcPr>
            <w:tcW w:w="1275" w:type="dxa"/>
          </w:tcPr>
          <w:p w:rsidR="00057989" w:rsidRPr="009F2F6B" w:rsidRDefault="00057989" w:rsidP="001F400B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32792</w:t>
            </w:r>
          </w:p>
        </w:tc>
        <w:tc>
          <w:tcPr>
            <w:tcW w:w="1276" w:type="dxa"/>
          </w:tcPr>
          <w:p w:rsidR="00057989" w:rsidRPr="009F2F6B" w:rsidRDefault="00057989" w:rsidP="009F2F6B">
            <w:pPr>
              <w:jc w:val="center"/>
              <w:rPr>
                <w:sz w:val="23"/>
                <w:szCs w:val="23"/>
                <w:lang w:val="uk-UA"/>
              </w:rPr>
            </w:pPr>
            <w:r w:rsidRPr="009F2F6B">
              <w:rPr>
                <w:sz w:val="23"/>
                <w:szCs w:val="23"/>
                <w:lang w:val="uk-UA"/>
              </w:rPr>
              <w:t>31</w:t>
            </w:r>
            <w:r>
              <w:rPr>
                <w:sz w:val="23"/>
                <w:szCs w:val="23"/>
                <w:lang w:val="uk-UA"/>
              </w:rPr>
              <w:t>608</w:t>
            </w:r>
          </w:p>
        </w:tc>
        <w:tc>
          <w:tcPr>
            <w:tcW w:w="1276" w:type="dxa"/>
          </w:tcPr>
          <w:p w:rsidR="00057989" w:rsidRPr="009F2F6B" w:rsidRDefault="00057989" w:rsidP="001F400B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1184</w:t>
            </w:r>
          </w:p>
        </w:tc>
        <w:tc>
          <w:tcPr>
            <w:tcW w:w="1559" w:type="dxa"/>
          </w:tcPr>
          <w:p w:rsidR="00057989" w:rsidRPr="009F2F6B" w:rsidRDefault="00057989" w:rsidP="00584E04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-</w:t>
            </w:r>
          </w:p>
        </w:tc>
        <w:tc>
          <w:tcPr>
            <w:tcW w:w="1559" w:type="dxa"/>
          </w:tcPr>
          <w:p w:rsidR="00057989" w:rsidRPr="009F2F6B" w:rsidRDefault="00057989" w:rsidP="00686AE7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57989" w:rsidRPr="00EC630C" w:rsidRDefault="00057989" w:rsidP="009F2F6B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</w:tr>
    </w:tbl>
    <w:p w:rsidR="006A7008" w:rsidRDefault="006A7008" w:rsidP="00584E04">
      <w:pPr>
        <w:ind w:firstLine="708"/>
        <w:jc w:val="both"/>
        <w:rPr>
          <w:sz w:val="28"/>
          <w:szCs w:val="28"/>
          <w:lang w:val="uk-UA"/>
        </w:rPr>
      </w:pPr>
    </w:p>
    <w:p w:rsidR="00B81E8E" w:rsidRPr="00AD05C1" w:rsidRDefault="00B81E8E" w:rsidP="00584E04">
      <w:pPr>
        <w:ind w:firstLine="708"/>
        <w:jc w:val="both"/>
        <w:rPr>
          <w:sz w:val="28"/>
          <w:szCs w:val="28"/>
          <w:lang w:val="uk-UA"/>
        </w:rPr>
      </w:pPr>
      <w:r w:rsidRPr="00AD05C1">
        <w:rPr>
          <w:sz w:val="28"/>
          <w:szCs w:val="28"/>
          <w:lang w:val="uk-UA"/>
        </w:rPr>
        <w:t>Наслідок позитивного впливу – прозорість</w:t>
      </w:r>
      <w:r w:rsidR="00584E04">
        <w:rPr>
          <w:sz w:val="28"/>
          <w:szCs w:val="28"/>
          <w:lang w:val="uk-UA"/>
        </w:rPr>
        <w:t xml:space="preserve"> процедури виведення житлових приміщень у будинках державного та громадського житлового фонду в нежилі, швидке реагування на недоліки та ведення моніторингу процесу виведення житлових приміщень у будинках державного та громадського житлового фонду в нежилі.</w:t>
      </w:r>
      <w:r w:rsidRPr="00AD05C1">
        <w:rPr>
          <w:sz w:val="28"/>
          <w:szCs w:val="28"/>
          <w:lang w:val="uk-UA"/>
        </w:rPr>
        <w:t xml:space="preserve"> </w:t>
      </w:r>
    </w:p>
    <w:p w:rsidR="002C5D03" w:rsidRPr="00AD05C1" w:rsidRDefault="002C5D03" w:rsidP="002C5D03">
      <w:pPr>
        <w:ind w:firstLine="540"/>
        <w:jc w:val="both"/>
        <w:rPr>
          <w:sz w:val="28"/>
          <w:szCs w:val="28"/>
          <w:lang w:val="uk-UA"/>
        </w:rPr>
      </w:pPr>
    </w:p>
    <w:p w:rsidR="00584E04" w:rsidRDefault="002C5D03" w:rsidP="005C7803">
      <w:pPr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>Оцінка результат</w:t>
      </w:r>
      <w:r w:rsidR="00034100">
        <w:rPr>
          <w:b/>
          <w:sz w:val="28"/>
          <w:szCs w:val="28"/>
          <w:lang w:val="uk-UA"/>
        </w:rPr>
        <w:t>ів реалізації регуляторного акту</w:t>
      </w:r>
      <w:r w:rsidRPr="00AD05C1">
        <w:rPr>
          <w:b/>
          <w:sz w:val="28"/>
          <w:szCs w:val="28"/>
          <w:lang w:val="uk-UA"/>
        </w:rPr>
        <w:t xml:space="preserve"> та ступеня досягнення визначених цілей</w:t>
      </w:r>
    </w:p>
    <w:p w:rsidR="002C5D03" w:rsidRPr="00AD05C1" w:rsidRDefault="002C5D03" w:rsidP="00584E04">
      <w:pPr>
        <w:ind w:left="900"/>
        <w:jc w:val="both"/>
        <w:rPr>
          <w:b/>
          <w:sz w:val="28"/>
          <w:szCs w:val="28"/>
          <w:lang w:val="uk-UA"/>
        </w:rPr>
      </w:pPr>
      <w:r w:rsidRPr="00AD05C1">
        <w:rPr>
          <w:b/>
          <w:sz w:val="28"/>
          <w:szCs w:val="28"/>
          <w:lang w:val="uk-UA"/>
        </w:rPr>
        <w:t xml:space="preserve"> </w:t>
      </w:r>
    </w:p>
    <w:p w:rsidR="00BA1600" w:rsidRDefault="00584E04" w:rsidP="002C5D03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регуляторного акту</w:t>
      </w:r>
      <w:r w:rsidR="00BA1600" w:rsidRPr="00AD05C1">
        <w:rPr>
          <w:sz w:val="28"/>
          <w:szCs w:val="28"/>
          <w:lang w:val="uk-UA"/>
        </w:rPr>
        <w:t xml:space="preserve">  позитивно вплинуло на</w:t>
      </w:r>
      <w:r w:rsidR="00CA3933">
        <w:rPr>
          <w:sz w:val="28"/>
          <w:szCs w:val="28"/>
          <w:lang w:val="uk-UA"/>
        </w:rPr>
        <w:t xml:space="preserve"> збалансування інтересів та забезпечення реалізації відповідних прав та обов’язків суб’єктів правовідносин – органів місцево</w:t>
      </w:r>
      <w:r w:rsidR="00BF05EA">
        <w:rPr>
          <w:sz w:val="28"/>
          <w:szCs w:val="28"/>
          <w:lang w:val="uk-UA"/>
        </w:rPr>
        <w:t>ї</w:t>
      </w:r>
      <w:r w:rsidR="00CA3933">
        <w:rPr>
          <w:sz w:val="28"/>
          <w:szCs w:val="28"/>
          <w:lang w:val="uk-UA"/>
        </w:rPr>
        <w:t xml:space="preserve"> </w:t>
      </w:r>
      <w:r w:rsidR="00BF05EA">
        <w:rPr>
          <w:sz w:val="28"/>
          <w:szCs w:val="28"/>
          <w:lang w:val="uk-UA"/>
        </w:rPr>
        <w:t>влади</w:t>
      </w:r>
      <w:r w:rsidR="000E0188">
        <w:rPr>
          <w:sz w:val="28"/>
          <w:szCs w:val="28"/>
          <w:lang w:val="uk-UA"/>
        </w:rPr>
        <w:t xml:space="preserve">, споживачів послуг, балансоутримувачів житлових будинків </w:t>
      </w:r>
      <w:r w:rsidR="001F400B">
        <w:rPr>
          <w:sz w:val="28"/>
          <w:szCs w:val="28"/>
          <w:lang w:val="uk-UA"/>
        </w:rPr>
        <w:t>комунальної власності,</w:t>
      </w:r>
      <w:r w:rsidR="000E0188">
        <w:rPr>
          <w:sz w:val="28"/>
          <w:szCs w:val="28"/>
          <w:lang w:val="uk-UA"/>
        </w:rPr>
        <w:t xml:space="preserve"> суб’єктів підприємницької діяльності.</w:t>
      </w:r>
      <w:r w:rsidR="009E1ED9">
        <w:rPr>
          <w:sz w:val="28"/>
          <w:szCs w:val="28"/>
          <w:lang w:val="uk-UA"/>
        </w:rPr>
        <w:t xml:space="preserve"> Водночас</w:t>
      </w:r>
      <w:r w:rsidR="001F400B">
        <w:rPr>
          <w:sz w:val="28"/>
          <w:szCs w:val="28"/>
          <w:lang w:val="uk-UA"/>
        </w:rPr>
        <w:t>,</w:t>
      </w:r>
      <w:r w:rsidR="009E1ED9">
        <w:rPr>
          <w:sz w:val="28"/>
          <w:szCs w:val="28"/>
          <w:lang w:val="uk-UA"/>
        </w:rPr>
        <w:t xml:space="preserve"> </w:t>
      </w:r>
      <w:r w:rsidR="000E0188">
        <w:rPr>
          <w:sz w:val="28"/>
          <w:szCs w:val="28"/>
          <w:lang w:val="uk-UA"/>
        </w:rPr>
        <w:t xml:space="preserve"> </w:t>
      </w:r>
      <w:r w:rsidR="009E1ED9">
        <w:rPr>
          <w:sz w:val="28"/>
          <w:szCs w:val="28"/>
          <w:lang w:val="uk-UA"/>
        </w:rPr>
        <w:t>прийняття регуляторного акту дозволил</w:t>
      </w:r>
      <w:r w:rsidR="00477DF8">
        <w:rPr>
          <w:sz w:val="28"/>
          <w:szCs w:val="28"/>
          <w:lang w:val="uk-UA"/>
        </w:rPr>
        <w:t>о</w:t>
      </w:r>
      <w:r w:rsidR="009E1ED9">
        <w:rPr>
          <w:sz w:val="28"/>
          <w:szCs w:val="28"/>
          <w:lang w:val="uk-UA"/>
        </w:rPr>
        <w:t xml:space="preserve"> виконавчим органам </w:t>
      </w:r>
      <w:r w:rsidR="00BF05EA">
        <w:rPr>
          <w:sz w:val="28"/>
          <w:szCs w:val="28"/>
          <w:lang w:val="uk-UA"/>
        </w:rPr>
        <w:t>місцевої влади</w:t>
      </w:r>
      <w:r w:rsidR="009E1ED9">
        <w:rPr>
          <w:sz w:val="28"/>
          <w:szCs w:val="28"/>
          <w:lang w:val="uk-UA"/>
        </w:rPr>
        <w:t xml:space="preserve"> більш якісно забезпечити виконання функцій контролю за належною експлуатацією житлових </w:t>
      </w:r>
      <w:r w:rsidR="009E1ED9">
        <w:rPr>
          <w:sz w:val="28"/>
          <w:szCs w:val="28"/>
          <w:lang w:val="uk-UA"/>
        </w:rPr>
        <w:lastRenderedPageBreak/>
        <w:t>будинків та порядком користування приміщеннями житлових будинків, створити рівні умови для суб’єктів господарювання та фізичних осіб щодо улаштування об’єктів містобудування у нежитлових приміщеннях (переведених з житлового фонду до нежитлового) житлових будинків; забезпечити якісні та безпечні умови проживання мешканців житлових будинків, в яких суб’єктами господарювання та фізичними особами передбачалося розміщення офісів, магазинів, інших об’єктів.</w:t>
      </w:r>
    </w:p>
    <w:p w:rsidR="00584E04" w:rsidRPr="00AD05C1" w:rsidRDefault="00584E04" w:rsidP="002C5D03">
      <w:pPr>
        <w:ind w:firstLine="540"/>
        <w:jc w:val="both"/>
        <w:rPr>
          <w:sz w:val="28"/>
          <w:szCs w:val="28"/>
          <w:lang w:val="uk-UA"/>
        </w:rPr>
      </w:pPr>
    </w:p>
    <w:p w:rsidR="004E46F6" w:rsidRDefault="004E46F6" w:rsidP="002C5D03">
      <w:pPr>
        <w:ind w:firstLine="540"/>
        <w:jc w:val="both"/>
        <w:rPr>
          <w:sz w:val="28"/>
          <w:szCs w:val="28"/>
          <w:lang w:val="uk-UA"/>
        </w:rPr>
      </w:pPr>
    </w:p>
    <w:p w:rsidR="00993A4F" w:rsidRDefault="00993A4F" w:rsidP="002C5D03">
      <w:pPr>
        <w:ind w:firstLine="540"/>
        <w:jc w:val="both"/>
        <w:rPr>
          <w:sz w:val="28"/>
          <w:szCs w:val="28"/>
          <w:lang w:val="uk-UA"/>
        </w:rPr>
      </w:pPr>
    </w:p>
    <w:p w:rsidR="00993A4F" w:rsidRDefault="00993A4F" w:rsidP="002C5D03">
      <w:pPr>
        <w:ind w:firstLine="540"/>
        <w:jc w:val="both"/>
        <w:rPr>
          <w:sz w:val="28"/>
          <w:szCs w:val="28"/>
          <w:lang w:val="uk-UA"/>
        </w:rPr>
      </w:pPr>
    </w:p>
    <w:p w:rsidR="00993A4F" w:rsidRPr="00AD05C1" w:rsidRDefault="00993A4F" w:rsidP="002C5D03">
      <w:pPr>
        <w:ind w:firstLine="540"/>
        <w:jc w:val="both"/>
        <w:rPr>
          <w:sz w:val="28"/>
          <w:szCs w:val="28"/>
          <w:lang w:val="uk-UA"/>
        </w:rPr>
      </w:pPr>
    </w:p>
    <w:p w:rsidR="004E46F6" w:rsidRPr="00AD05C1" w:rsidRDefault="004E46F6" w:rsidP="002C5D03">
      <w:pPr>
        <w:ind w:firstLine="540"/>
        <w:jc w:val="both"/>
        <w:rPr>
          <w:sz w:val="28"/>
          <w:szCs w:val="28"/>
          <w:lang w:val="uk-UA"/>
        </w:rPr>
      </w:pPr>
    </w:p>
    <w:p w:rsidR="00A219AA" w:rsidRPr="00291515" w:rsidRDefault="00A219AA" w:rsidP="00AC4823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291515">
        <w:rPr>
          <w:rFonts w:eastAsia="Calibri"/>
          <w:sz w:val="28"/>
          <w:szCs w:val="28"/>
          <w:lang w:val="uk-UA"/>
        </w:rPr>
        <w:t>Заступник керівника</w:t>
      </w:r>
    </w:p>
    <w:p w:rsidR="00A219AA" w:rsidRPr="00291515" w:rsidRDefault="00A219AA" w:rsidP="00AC4823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291515">
        <w:rPr>
          <w:rFonts w:eastAsia="Calibri"/>
          <w:sz w:val="28"/>
          <w:szCs w:val="28"/>
          <w:lang w:val="uk-UA"/>
        </w:rPr>
        <w:t>з питань  безпеки та громадського</w:t>
      </w:r>
    </w:p>
    <w:p w:rsidR="00AC4823" w:rsidRDefault="00A219AA" w:rsidP="00AC4823">
      <w:pPr>
        <w:contextualSpacing/>
        <w:jc w:val="both"/>
        <w:rPr>
          <w:rFonts w:eastAsia="Calibri"/>
          <w:sz w:val="28"/>
          <w:szCs w:val="28"/>
          <w:lang w:val="uk-UA"/>
        </w:rPr>
      </w:pPr>
      <w:r w:rsidRPr="00291515">
        <w:rPr>
          <w:rFonts w:eastAsia="Calibri"/>
          <w:sz w:val="28"/>
          <w:szCs w:val="28"/>
          <w:lang w:val="uk-UA"/>
        </w:rPr>
        <w:t xml:space="preserve">порядку </w:t>
      </w:r>
      <w:r w:rsidR="00AC4823">
        <w:rPr>
          <w:rFonts w:eastAsia="Calibri"/>
          <w:sz w:val="28"/>
          <w:szCs w:val="28"/>
          <w:lang w:val="uk-UA"/>
        </w:rPr>
        <w:t>ВЦА</w:t>
      </w:r>
      <w:r w:rsidRPr="00291515">
        <w:rPr>
          <w:rFonts w:eastAsia="Calibri"/>
          <w:sz w:val="28"/>
          <w:szCs w:val="28"/>
          <w:lang w:val="uk-UA"/>
        </w:rPr>
        <w:t xml:space="preserve"> міста Лисичанськ</w:t>
      </w:r>
    </w:p>
    <w:p w:rsidR="00A219AA" w:rsidRPr="00291515" w:rsidRDefault="00AC4823" w:rsidP="00AC4823">
      <w:pPr>
        <w:contextualSpacing/>
        <w:jc w:val="both"/>
        <w:rPr>
          <w:b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Луганської області                                                          Станіслав МОСЕЙКО</w:t>
      </w:r>
    </w:p>
    <w:p w:rsidR="00AC6D44" w:rsidRPr="00A219AA" w:rsidRDefault="00AC6D44" w:rsidP="00AD05C1">
      <w:pPr>
        <w:jc w:val="both"/>
        <w:rPr>
          <w:sz w:val="28"/>
          <w:szCs w:val="28"/>
          <w:lang w:val="uk-UA"/>
        </w:rPr>
      </w:pPr>
      <w:r w:rsidRPr="00A219AA">
        <w:rPr>
          <w:sz w:val="28"/>
          <w:szCs w:val="28"/>
          <w:lang w:val="uk-UA"/>
        </w:rPr>
        <w:t xml:space="preserve">  </w:t>
      </w:r>
      <w:r w:rsidR="00517C88" w:rsidRPr="00A219AA">
        <w:rPr>
          <w:sz w:val="28"/>
          <w:szCs w:val="28"/>
          <w:lang w:val="uk-UA"/>
        </w:rPr>
        <w:t xml:space="preserve">                                           </w:t>
      </w:r>
    </w:p>
    <w:p w:rsidR="00AC6D44" w:rsidRPr="00A219AA" w:rsidRDefault="00AC6D44" w:rsidP="00AD05C1">
      <w:pPr>
        <w:jc w:val="both"/>
        <w:rPr>
          <w:sz w:val="28"/>
          <w:szCs w:val="28"/>
          <w:lang w:val="uk-UA"/>
        </w:rPr>
      </w:pPr>
    </w:p>
    <w:p w:rsidR="00895114" w:rsidRPr="00A219AA" w:rsidRDefault="00895114" w:rsidP="00AD05C1">
      <w:pPr>
        <w:jc w:val="both"/>
        <w:rPr>
          <w:sz w:val="28"/>
          <w:szCs w:val="28"/>
          <w:lang w:val="uk-UA"/>
        </w:rPr>
      </w:pPr>
    </w:p>
    <w:p w:rsidR="00A219AA" w:rsidRDefault="00A219AA" w:rsidP="00A219AA">
      <w:pPr>
        <w:rPr>
          <w:bCs/>
          <w:sz w:val="28"/>
          <w:szCs w:val="28"/>
          <w:lang w:val="uk-UA" w:eastAsia="en-US"/>
        </w:rPr>
      </w:pPr>
      <w:r w:rsidRPr="00A14F1A">
        <w:rPr>
          <w:bCs/>
          <w:sz w:val="28"/>
          <w:szCs w:val="28"/>
          <w:lang w:val="uk-UA" w:eastAsia="en-US"/>
        </w:rPr>
        <w:t xml:space="preserve">Начальник </w:t>
      </w:r>
      <w:r>
        <w:rPr>
          <w:bCs/>
          <w:sz w:val="28"/>
          <w:szCs w:val="28"/>
          <w:lang w:val="uk-UA" w:eastAsia="en-US"/>
        </w:rPr>
        <w:t xml:space="preserve">УЖКГ </w:t>
      </w:r>
      <w:r w:rsidRPr="00A14F1A">
        <w:rPr>
          <w:bCs/>
          <w:sz w:val="28"/>
          <w:szCs w:val="28"/>
          <w:lang w:val="uk-UA" w:eastAsia="en-US"/>
        </w:rPr>
        <w:t xml:space="preserve">Лисичанської міської </w:t>
      </w:r>
    </w:p>
    <w:p w:rsidR="00A219AA" w:rsidRDefault="00A219AA" w:rsidP="00A219AA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ВЦА </w:t>
      </w:r>
      <w:proofErr w:type="spellStart"/>
      <w:r>
        <w:rPr>
          <w:bCs/>
          <w:sz w:val="28"/>
          <w:szCs w:val="28"/>
          <w:lang w:val="uk-UA" w:eastAsia="en-US"/>
        </w:rPr>
        <w:t>Сєвєродонецького</w:t>
      </w:r>
      <w:proofErr w:type="spellEnd"/>
      <w:r>
        <w:rPr>
          <w:bCs/>
          <w:sz w:val="28"/>
          <w:szCs w:val="28"/>
          <w:lang w:val="uk-UA" w:eastAsia="en-US"/>
        </w:rPr>
        <w:t xml:space="preserve"> району</w:t>
      </w:r>
    </w:p>
    <w:p w:rsidR="00A219AA" w:rsidRPr="00A14F1A" w:rsidRDefault="00A219AA" w:rsidP="00A219AA">
      <w:pPr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en-US"/>
        </w:rPr>
        <w:t xml:space="preserve">Луганської області                                                                   </w:t>
      </w:r>
      <w:r w:rsidR="00AC4823">
        <w:rPr>
          <w:bCs/>
          <w:sz w:val="28"/>
          <w:szCs w:val="28"/>
          <w:lang w:val="uk-UA" w:eastAsia="en-US"/>
        </w:rPr>
        <w:t xml:space="preserve">    </w:t>
      </w:r>
      <w:r w:rsidRPr="00A14F1A">
        <w:rPr>
          <w:bCs/>
          <w:sz w:val="28"/>
          <w:szCs w:val="28"/>
          <w:lang w:val="uk-UA" w:eastAsia="en-US"/>
        </w:rPr>
        <w:t>Віталій САХАНЬ</w:t>
      </w:r>
    </w:p>
    <w:p w:rsidR="00AC6D44" w:rsidRPr="00A219AA" w:rsidRDefault="00AC6D44" w:rsidP="00AD05C1">
      <w:pPr>
        <w:jc w:val="both"/>
        <w:rPr>
          <w:sz w:val="28"/>
          <w:szCs w:val="28"/>
          <w:lang w:val="uk-UA"/>
        </w:rPr>
      </w:pPr>
      <w:r w:rsidRPr="00A219AA">
        <w:rPr>
          <w:sz w:val="28"/>
          <w:szCs w:val="28"/>
          <w:lang w:val="uk-UA"/>
        </w:rPr>
        <w:t xml:space="preserve">                         </w:t>
      </w:r>
      <w:r w:rsidR="00AD05C1" w:rsidRPr="00A219AA">
        <w:rPr>
          <w:sz w:val="28"/>
          <w:szCs w:val="28"/>
          <w:lang w:val="uk-UA"/>
        </w:rPr>
        <w:t xml:space="preserve">      </w:t>
      </w:r>
      <w:r w:rsidR="00895114" w:rsidRPr="00A219AA">
        <w:rPr>
          <w:sz w:val="28"/>
          <w:szCs w:val="28"/>
          <w:lang w:val="uk-UA"/>
        </w:rPr>
        <w:t xml:space="preserve">   </w:t>
      </w:r>
    </w:p>
    <w:p w:rsidR="00AC6D44" w:rsidRPr="00AD05C1" w:rsidRDefault="00AC6D44" w:rsidP="002C5D03">
      <w:pPr>
        <w:ind w:firstLine="540"/>
        <w:jc w:val="both"/>
        <w:rPr>
          <w:sz w:val="28"/>
          <w:szCs w:val="28"/>
          <w:lang w:val="uk-UA"/>
        </w:rPr>
      </w:pPr>
    </w:p>
    <w:p w:rsidR="00AC6D44" w:rsidRPr="00AD05C1" w:rsidRDefault="00AC6D44" w:rsidP="002C5D03">
      <w:pPr>
        <w:ind w:firstLine="540"/>
        <w:jc w:val="both"/>
        <w:rPr>
          <w:sz w:val="28"/>
          <w:szCs w:val="28"/>
          <w:lang w:val="uk-UA"/>
        </w:rPr>
      </w:pPr>
    </w:p>
    <w:p w:rsidR="00AC6D44" w:rsidRPr="00AD05C1" w:rsidRDefault="00AC6D44" w:rsidP="002C5D03">
      <w:pPr>
        <w:ind w:firstLine="54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AC6D44" w:rsidRPr="00AD05C1" w:rsidSect="00142719">
      <w:headerReference w:type="even" r:id="rId8"/>
      <w:head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8C" w:rsidRDefault="00172D8C">
      <w:r>
        <w:separator/>
      </w:r>
    </w:p>
  </w:endnote>
  <w:endnote w:type="continuationSeparator" w:id="0">
    <w:p w:rsidR="00172D8C" w:rsidRDefault="0017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8C" w:rsidRDefault="00172D8C">
      <w:r>
        <w:separator/>
      </w:r>
    </w:p>
  </w:footnote>
  <w:footnote w:type="continuationSeparator" w:id="0">
    <w:p w:rsidR="00172D8C" w:rsidRDefault="0017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9F" w:rsidRDefault="00E122C2" w:rsidP="009F39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3B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33B9F" w:rsidRDefault="00733B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B9F" w:rsidRDefault="00E122C2" w:rsidP="009F39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3B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14A">
      <w:rPr>
        <w:rStyle w:val="a4"/>
        <w:noProof/>
      </w:rPr>
      <w:t>3</w:t>
    </w:r>
    <w:r>
      <w:rPr>
        <w:rStyle w:val="a4"/>
      </w:rPr>
      <w:fldChar w:fldCharType="end"/>
    </w:r>
  </w:p>
  <w:p w:rsidR="00733B9F" w:rsidRDefault="00733B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2E10"/>
    <w:multiLevelType w:val="hybridMultilevel"/>
    <w:tmpl w:val="1EA629EA"/>
    <w:lvl w:ilvl="0" w:tplc="E2F2E2B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DD546B4"/>
    <w:multiLevelType w:val="hybridMultilevel"/>
    <w:tmpl w:val="F9223B42"/>
    <w:lvl w:ilvl="0" w:tplc="025019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D03"/>
    <w:rsid w:val="00003B3C"/>
    <w:rsid w:val="00034100"/>
    <w:rsid w:val="0003434C"/>
    <w:rsid w:val="00056FF5"/>
    <w:rsid w:val="00057989"/>
    <w:rsid w:val="00057E0F"/>
    <w:rsid w:val="000661C8"/>
    <w:rsid w:val="00081D5E"/>
    <w:rsid w:val="000826E4"/>
    <w:rsid w:val="000B4B09"/>
    <w:rsid w:val="000E0188"/>
    <w:rsid w:val="00142129"/>
    <w:rsid w:val="00142719"/>
    <w:rsid w:val="00172D8C"/>
    <w:rsid w:val="001B1E5C"/>
    <w:rsid w:val="001F400B"/>
    <w:rsid w:val="0021057A"/>
    <w:rsid w:val="00213EAF"/>
    <w:rsid w:val="00217278"/>
    <w:rsid w:val="00276E80"/>
    <w:rsid w:val="00286690"/>
    <w:rsid w:val="00290838"/>
    <w:rsid w:val="00297F8A"/>
    <w:rsid w:val="002C5D03"/>
    <w:rsid w:val="002C7930"/>
    <w:rsid w:val="00317FF0"/>
    <w:rsid w:val="00321CC1"/>
    <w:rsid w:val="00324EB9"/>
    <w:rsid w:val="0033033C"/>
    <w:rsid w:val="003B2818"/>
    <w:rsid w:val="003C184D"/>
    <w:rsid w:val="003F7CBA"/>
    <w:rsid w:val="0046247D"/>
    <w:rsid w:val="00477DF8"/>
    <w:rsid w:val="004B6D9E"/>
    <w:rsid w:val="004E46F6"/>
    <w:rsid w:val="00517C88"/>
    <w:rsid w:val="00530515"/>
    <w:rsid w:val="00583BE6"/>
    <w:rsid w:val="00584E04"/>
    <w:rsid w:val="005C7803"/>
    <w:rsid w:val="005D7599"/>
    <w:rsid w:val="005F2CE2"/>
    <w:rsid w:val="006306E3"/>
    <w:rsid w:val="006425D3"/>
    <w:rsid w:val="00650D2A"/>
    <w:rsid w:val="00677709"/>
    <w:rsid w:val="00686AE7"/>
    <w:rsid w:val="006A7008"/>
    <w:rsid w:val="00701E47"/>
    <w:rsid w:val="007339AB"/>
    <w:rsid w:val="00733B9F"/>
    <w:rsid w:val="007A4F7F"/>
    <w:rsid w:val="007F7D87"/>
    <w:rsid w:val="0080014A"/>
    <w:rsid w:val="00837483"/>
    <w:rsid w:val="008764C9"/>
    <w:rsid w:val="00877F15"/>
    <w:rsid w:val="00895114"/>
    <w:rsid w:val="008B215D"/>
    <w:rsid w:val="00911DBD"/>
    <w:rsid w:val="00917102"/>
    <w:rsid w:val="00933C08"/>
    <w:rsid w:val="0093620E"/>
    <w:rsid w:val="00940D36"/>
    <w:rsid w:val="00964636"/>
    <w:rsid w:val="00992C89"/>
    <w:rsid w:val="00993A4F"/>
    <w:rsid w:val="009B046E"/>
    <w:rsid w:val="009E1ED9"/>
    <w:rsid w:val="009F2F6B"/>
    <w:rsid w:val="009F39E7"/>
    <w:rsid w:val="00A0090C"/>
    <w:rsid w:val="00A167D6"/>
    <w:rsid w:val="00A219AA"/>
    <w:rsid w:val="00A311FB"/>
    <w:rsid w:val="00A378DD"/>
    <w:rsid w:val="00A45AC2"/>
    <w:rsid w:val="00A52853"/>
    <w:rsid w:val="00AC4823"/>
    <w:rsid w:val="00AC6D44"/>
    <w:rsid w:val="00AD05C1"/>
    <w:rsid w:val="00B01500"/>
    <w:rsid w:val="00B143A7"/>
    <w:rsid w:val="00B81E8E"/>
    <w:rsid w:val="00B92ADA"/>
    <w:rsid w:val="00B97CCF"/>
    <w:rsid w:val="00BA1600"/>
    <w:rsid w:val="00BF05EA"/>
    <w:rsid w:val="00BF657F"/>
    <w:rsid w:val="00C116CA"/>
    <w:rsid w:val="00C41F42"/>
    <w:rsid w:val="00C6312C"/>
    <w:rsid w:val="00C85FA4"/>
    <w:rsid w:val="00C933FD"/>
    <w:rsid w:val="00CA28CD"/>
    <w:rsid w:val="00CA3933"/>
    <w:rsid w:val="00CB6877"/>
    <w:rsid w:val="00CD0410"/>
    <w:rsid w:val="00CE25D6"/>
    <w:rsid w:val="00D01970"/>
    <w:rsid w:val="00D1108E"/>
    <w:rsid w:val="00D21C6C"/>
    <w:rsid w:val="00D831BC"/>
    <w:rsid w:val="00DB2758"/>
    <w:rsid w:val="00DC5EEE"/>
    <w:rsid w:val="00E122C2"/>
    <w:rsid w:val="00E42E48"/>
    <w:rsid w:val="00E60028"/>
    <w:rsid w:val="00E7256F"/>
    <w:rsid w:val="00E9096A"/>
    <w:rsid w:val="00EB4CDE"/>
    <w:rsid w:val="00EB6D1B"/>
    <w:rsid w:val="00EC630C"/>
    <w:rsid w:val="00EE394F"/>
    <w:rsid w:val="00F01D0F"/>
    <w:rsid w:val="00F30B14"/>
    <w:rsid w:val="00F34AC6"/>
    <w:rsid w:val="00F62A28"/>
    <w:rsid w:val="00FA272C"/>
    <w:rsid w:val="00FA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1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D0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5D03"/>
  </w:style>
  <w:style w:type="paragraph" w:styleId="a5">
    <w:name w:val="List Paragraph"/>
    <w:basedOn w:val="a"/>
    <w:qFormat/>
    <w:rsid w:val="00B81E8E"/>
    <w:pPr>
      <w:ind w:left="720"/>
      <w:contextualSpacing/>
    </w:pPr>
    <w:rPr>
      <w:lang w:val="uk-UA"/>
    </w:rPr>
  </w:style>
  <w:style w:type="table" w:styleId="a6">
    <w:name w:val="Table Grid"/>
    <w:basedOn w:val="a1"/>
    <w:rsid w:val="003C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C78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7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базове відстеження</vt:lpstr>
    </vt:vector>
  </TitlesOfParts>
  <Company>HOME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базове відстеження</dc:title>
  <dc:creator>LAN_OS</dc:creator>
  <cp:lastModifiedBy>UGKH</cp:lastModifiedBy>
  <cp:revision>18</cp:revision>
  <cp:lastPrinted>2021-03-22T14:45:00Z</cp:lastPrinted>
  <dcterms:created xsi:type="dcterms:W3CDTF">2018-03-21T13:36:00Z</dcterms:created>
  <dcterms:modified xsi:type="dcterms:W3CDTF">2021-03-23T07:38:00Z</dcterms:modified>
</cp:coreProperties>
</file>