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90" w:rsidRPr="009A1B98" w:rsidRDefault="00B11E90" w:rsidP="009A1B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АНАЛІЗ РЕГУЛЯТОРНОГО ВПЛИВУ</w:t>
      </w:r>
    </w:p>
    <w:p w:rsidR="00B11E90" w:rsidRPr="009A1B98" w:rsidRDefault="00B11E90" w:rsidP="009A1B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проєкту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 розпорядження керівника Лисичанської міської військово-цивільної адміністрації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Сєвєродонецького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 району Луганської області</w:t>
      </w:r>
    </w:p>
    <w:p w:rsidR="00B11E90" w:rsidRPr="009A1B98" w:rsidRDefault="00B11E90" w:rsidP="009A1B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«Про затвердження Методики розрахунку компенсації за надання  послуг, що становлять загальний економічний інтерес – перевезення пасажирів міським пасажирським транспортом загального користування»</w:t>
      </w:r>
    </w:p>
    <w:p w:rsidR="00B11E90" w:rsidRPr="009A1B98" w:rsidRDefault="00B11E90" w:rsidP="009A1B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B11E90" w:rsidRPr="009A1B98" w:rsidRDefault="00B11E90" w:rsidP="009A1B9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I. Визначення проблеми</w:t>
      </w:r>
    </w:p>
    <w:p w:rsidR="003C768D" w:rsidRPr="009A1B98" w:rsidRDefault="003C768D" w:rsidP="002450B2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Проблема, яку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передбачається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розв`язати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шляхом державного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регулювання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:</w:t>
      </w:r>
    </w:p>
    <w:p w:rsidR="003C768D" w:rsidRPr="009A1B98" w:rsidRDefault="00B11E90" w:rsidP="0024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цей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час </w:t>
      </w:r>
      <w:r w:rsidR="00CB457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як</w:t>
      </w: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державному</w:t>
      </w:r>
      <w:r w:rsidR="00CB457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та</w:t>
      </w:r>
      <w:r w:rsidR="0063780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к</w:t>
      </w:r>
      <w:r w:rsidR="00CB457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і</w:t>
      </w: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на</w:t>
      </w: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міс</w:t>
      </w:r>
      <w:r w:rsidR="00CB457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цевому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рівні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відсутній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нормативно-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правовий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акт,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який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визначає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об’єктивний та прозорий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механізм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обчислення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компенсації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обґрунтованих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витрат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за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надання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послуг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що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становлять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загальний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економічний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інтерес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–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громадських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послуг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з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перевезення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пасажирів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міським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пасажирським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транспортом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загального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користування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тролейбусами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та автобусами,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що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працюють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звичайному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режимі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руху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) у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місті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Лисичанськ</w:t>
      </w:r>
      <w:proofErr w:type="spellEnd"/>
      <w:r w:rsidR="003C768D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3C768D" w:rsidRPr="009A1B98" w:rsidRDefault="003C768D" w:rsidP="002450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Причини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виникнення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проблеми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:</w:t>
      </w:r>
    </w:p>
    <w:p w:rsidR="003C768D" w:rsidRPr="009A1B98" w:rsidRDefault="003C768D" w:rsidP="002450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Відсутність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параметрів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на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підставі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яких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розраховується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компенсація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за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надання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послуг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із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перевезення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пасажирів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пасажирським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транспортом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загального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користування</w:t>
      </w:r>
      <w:proofErr w:type="spellEnd"/>
      <w:r w:rsidR="00CB457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.</w:t>
      </w:r>
    </w:p>
    <w:p w:rsidR="00A03F47" w:rsidRPr="00A03F47" w:rsidRDefault="003C768D" w:rsidP="002450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Відсутність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заходів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щодо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уникнення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та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повер</w:t>
      </w:r>
      <w:proofErr w:type="spellEnd"/>
      <w:r w:rsidR="00543A2A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н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компенсації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випадку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надання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надмірної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компенсації</w:t>
      </w:r>
      <w:proofErr w:type="spellEnd"/>
      <w:r w:rsidR="00CB4573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.</w:t>
      </w:r>
    </w:p>
    <w:p w:rsidR="005E26F1" w:rsidRDefault="002450B2" w:rsidP="002450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Щорічно підприємства, які здійснюють перевезення пасажирів тролейбусами та автобусами у звичайному режимі руху, 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перевозять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близько                    </w:t>
      </w:r>
      <w:r w:rsid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3,9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мільйонів мешканців міста</w:t>
      </w:r>
      <w:r w:rsidRPr="002450B2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(згідно з оперативною та статичною звітністю перевізників). </w:t>
      </w:r>
    </w:p>
    <w:p w:rsidR="00F52C4C" w:rsidRDefault="005E26F1" w:rsidP="002450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Враховуючи, що</w:t>
      </w:r>
      <w:r w:rsidRPr="005E26F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державним бюджетом не здійснюються компенсаційні виплати за пільгове перевезення окремих категорій громадян міським електричним транспортом, а така послуга надається, оскільки право на пільгове перевезення в електричному транспорті надано громадянам державою, міська влада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вимушена надавати</w:t>
      </w:r>
      <w:r w:rsidRPr="005E26F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фінансової підтримк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у</w:t>
      </w:r>
      <w:r w:rsidRPr="005E26F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КП ЛМР «</w:t>
      </w:r>
      <w:proofErr w:type="spellStart"/>
      <w:r w:rsidRPr="005E26F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Електроавтотранс</w:t>
      </w:r>
      <w:proofErr w:type="spellEnd"/>
      <w:r w:rsidRPr="005E26F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» з метою забезпечення послугами з перевезення пасажирів міста електротранспортом.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Задля врівноваження прав перевізників, які </w:t>
      </w:r>
      <w:r w:rsid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надають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и</w:t>
      </w: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з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перевезення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пасажирів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міським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пасажирським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транспортом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загального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</w:t>
      </w:r>
      <w:r w:rsidR="00F52C4C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(тролейбусами та автобусами) </w:t>
      </w: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звичайному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режимі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руху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</w:t>
      </w:r>
      <w:r w:rsidR="00F52C4C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пропонується </w:t>
      </w:r>
      <w:r w:rsid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визначити </w:t>
      </w:r>
      <w:r w:rsidR="00F52C4C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механізм </w:t>
      </w:r>
      <w:proofErr w:type="spellStart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обчислення</w:t>
      </w:r>
      <w:proofErr w:type="spellEnd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компенсації</w:t>
      </w:r>
      <w:proofErr w:type="spellEnd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обґрунтованих</w:t>
      </w:r>
      <w:proofErr w:type="spellEnd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витрат</w:t>
      </w:r>
      <w:proofErr w:type="spellEnd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за </w:t>
      </w:r>
      <w:proofErr w:type="spellStart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надання</w:t>
      </w:r>
      <w:proofErr w:type="spellEnd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F52C4C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цих </w:t>
      </w:r>
      <w:proofErr w:type="spellStart"/>
      <w:r w:rsidR="00F52C4C"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послуг</w:t>
      </w:r>
      <w:proofErr w:type="spellEnd"/>
      <w:r w:rsidR="00F52C4C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.</w:t>
      </w:r>
    </w:p>
    <w:p w:rsidR="009A1B98" w:rsidRPr="002450B2" w:rsidRDefault="005E26F1" w:rsidP="002450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5E26F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</w:t>
      </w:r>
    </w:p>
    <w:p w:rsidR="003C768D" w:rsidRPr="009A1B98" w:rsidRDefault="003C768D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Основні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групи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(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підгрупи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), на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які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проблема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справляє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вплив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991"/>
        <w:gridCol w:w="992"/>
      </w:tblGrid>
      <w:tr w:rsidR="009A1B98" w:rsidRPr="009A1B98" w:rsidTr="009A1B98">
        <w:tc>
          <w:tcPr>
            <w:tcW w:w="6799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підгрупи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1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992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Ні</w:t>
            </w:r>
            <w:proofErr w:type="spellEnd"/>
          </w:p>
        </w:tc>
      </w:tr>
      <w:tr w:rsidR="009A1B98" w:rsidRPr="009A1B98" w:rsidTr="009A1B98">
        <w:tc>
          <w:tcPr>
            <w:tcW w:w="6799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991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992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</w:tr>
      <w:tr w:rsidR="009A1B98" w:rsidRPr="009A1B98" w:rsidTr="009A1B98">
        <w:tc>
          <w:tcPr>
            <w:tcW w:w="6799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  <w:proofErr w:type="spellEnd"/>
          </w:p>
        </w:tc>
        <w:tc>
          <w:tcPr>
            <w:tcW w:w="991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992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</w:tr>
      <w:tr w:rsidR="009A1B98" w:rsidRPr="009A1B98" w:rsidTr="009A1B98">
        <w:tc>
          <w:tcPr>
            <w:tcW w:w="6799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991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992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</w:tr>
      <w:tr w:rsidR="009A1B98" w:rsidRPr="009A1B98" w:rsidTr="009A1B98">
        <w:tc>
          <w:tcPr>
            <w:tcW w:w="6799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тому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підприємництва</w:t>
            </w:r>
            <w:proofErr w:type="spellEnd"/>
          </w:p>
        </w:tc>
        <w:tc>
          <w:tcPr>
            <w:tcW w:w="991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A1B98" w:rsidRPr="009A1B98" w:rsidRDefault="009A1B9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+</w:t>
            </w:r>
          </w:p>
        </w:tc>
      </w:tr>
    </w:tbl>
    <w:p w:rsidR="009A1B98" w:rsidRPr="009A1B98" w:rsidRDefault="009A1B98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24551" w:rsidRPr="00524551" w:rsidRDefault="00524551" w:rsidP="0052455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5245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II. Цілі державного регулювання</w:t>
      </w:r>
    </w:p>
    <w:p w:rsidR="003C768D" w:rsidRPr="00524551" w:rsidRDefault="00524551" w:rsidP="0052455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Метою</w:t>
      </w:r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державного </w:t>
      </w:r>
      <w:proofErr w:type="spellStart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регулювання</w:t>
      </w:r>
      <w:proofErr w:type="spellEnd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, </w:t>
      </w:r>
      <w:r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яка </w:t>
      </w:r>
      <w:proofErr w:type="spellStart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безпосередньо</w:t>
      </w:r>
      <w:proofErr w:type="spellEnd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пов`язан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а</w:t>
      </w:r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з </w:t>
      </w:r>
      <w:proofErr w:type="spellStart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розв`язанням</w:t>
      </w:r>
      <w:proofErr w:type="spellEnd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="003C768D"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проблеми</w:t>
      </w:r>
      <w:proofErr w:type="spellEnd"/>
      <w:r w:rsidRPr="0052455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, є</w:t>
      </w:r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з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апровадження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загального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механіз</w:t>
      </w:r>
      <w:r w:rsidR="00F701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</w:t>
      </w:r>
      <w:proofErr w:type="spellEnd"/>
      <w:r w:rsidR="00F701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F701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об’єктивного</w:t>
      </w:r>
      <w:proofErr w:type="spellEnd"/>
      <w:r w:rsidR="00F701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та </w:t>
      </w:r>
      <w:proofErr w:type="spellStart"/>
      <w:r w:rsidR="00F701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прозорого</w:t>
      </w:r>
      <w:proofErr w:type="spellEnd"/>
      <w:r w:rsidR="00F701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="00F701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</w:t>
      </w:r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числення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компенсації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обґрунтованих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витрат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надання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послуг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що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становлять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загальний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економічний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інтерес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-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перевезення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пасажирів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міським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пасажирським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транспортом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загального</w:t>
      </w:r>
      <w:proofErr w:type="spellEnd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2455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.</w:t>
      </w:r>
    </w:p>
    <w:p w:rsidR="00524551" w:rsidRDefault="00524551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524551" w:rsidRDefault="00524551" w:rsidP="0052455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52455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III. Визначення та оцінка альтернативних способів досягнення цілей</w:t>
      </w:r>
    </w:p>
    <w:p w:rsidR="00722DEE" w:rsidRDefault="00722DEE" w:rsidP="0052455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3C768D" w:rsidRPr="00722DEE" w:rsidRDefault="003C768D" w:rsidP="00722DE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firstLine="131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proofErr w:type="spellStart"/>
      <w:r w:rsidRPr="00722D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Визначення</w:t>
      </w:r>
      <w:proofErr w:type="spellEnd"/>
      <w:r w:rsidRPr="00722D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722D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альтернативних</w:t>
      </w:r>
      <w:proofErr w:type="spellEnd"/>
      <w:r w:rsidRPr="00722D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722D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способів</w:t>
      </w:r>
      <w:proofErr w:type="spellEnd"/>
      <w:r w:rsidRPr="00722D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4551" w:rsidTr="00524551">
        <w:tc>
          <w:tcPr>
            <w:tcW w:w="4672" w:type="dxa"/>
          </w:tcPr>
          <w:p w:rsidR="00524551" w:rsidRDefault="00524551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альтернативи</w:t>
            </w:r>
            <w:proofErr w:type="spellEnd"/>
          </w:p>
        </w:tc>
        <w:tc>
          <w:tcPr>
            <w:tcW w:w="4673" w:type="dxa"/>
          </w:tcPr>
          <w:p w:rsidR="00524551" w:rsidRDefault="00524551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Інструменти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застосовуються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пропонується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застосувати</w:t>
            </w:r>
            <w:proofErr w:type="spellEnd"/>
          </w:p>
        </w:tc>
      </w:tr>
      <w:tr w:rsidR="00524551" w:rsidTr="00524551">
        <w:tc>
          <w:tcPr>
            <w:tcW w:w="4672" w:type="dxa"/>
          </w:tcPr>
          <w:p w:rsidR="00F70140" w:rsidRDefault="00524551" w:rsidP="009A1B98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Альтернатива 1 </w:t>
            </w:r>
          </w:p>
          <w:p w:rsidR="00524551" w:rsidRPr="00266534" w:rsidRDefault="00F70140" w:rsidP="0026653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="00524551"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="00524551"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24551"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</w:t>
            </w:r>
            <w:r w:rsidR="002665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у)</w:t>
            </w:r>
          </w:p>
        </w:tc>
        <w:tc>
          <w:tcPr>
            <w:tcW w:w="4673" w:type="dxa"/>
          </w:tcPr>
          <w:p w:rsidR="00722DEE" w:rsidRPr="00F70140" w:rsidRDefault="00F70140" w:rsidP="00722DEE">
            <w:pPr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Ця альтернатива н</w:t>
            </w:r>
            <w:r w:rsidRPr="00F701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е дозволяє вирішити питання </w:t>
            </w:r>
            <w:r w:rsidR="00722DEE" w:rsidRPr="00722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компенсації обґрунтованих витрат на надання послуг, що становлять загальний економічний інтерес - перевезення пасажирів міським пасажирським транспортом загального користування</w:t>
            </w:r>
          </w:p>
        </w:tc>
      </w:tr>
      <w:tr w:rsidR="00524551" w:rsidTr="00524551">
        <w:tc>
          <w:tcPr>
            <w:tcW w:w="4672" w:type="dxa"/>
          </w:tcPr>
          <w:p w:rsidR="00524551" w:rsidRDefault="00266534" w:rsidP="009A1B98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Альтернатива 2</w:t>
            </w:r>
          </w:p>
          <w:p w:rsidR="00722DEE" w:rsidRPr="00722DEE" w:rsidRDefault="00722DEE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Прийняття регуляторного акту</w:t>
            </w:r>
          </w:p>
        </w:tc>
        <w:tc>
          <w:tcPr>
            <w:tcW w:w="4673" w:type="dxa"/>
          </w:tcPr>
          <w:p w:rsidR="00722DEE" w:rsidRPr="00722DEE" w:rsidRDefault="00722DEE" w:rsidP="00722DEE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запропонованого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проєкту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регуляторного акта "Про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Методики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розрахунку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компенсації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</w:t>
            </w:r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proofErr w:type="spellEnd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становлять</w:t>
            </w:r>
            <w:proofErr w:type="spellEnd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</w:t>
            </w:r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інтерес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перевезення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пасажирів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міським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пасажирським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транспортом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місті</w:t>
            </w:r>
            <w:proofErr w:type="spellEnd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Лисичанськ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Даний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альтернативний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спосіб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прийнятним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оскільки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регуляторний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врегулює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механізму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об’єктивного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компенсації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обґрунтованих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</w:p>
          <w:p w:rsidR="00524551" w:rsidRDefault="00722DEE" w:rsidP="00722DEE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сприятиме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стабільній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роботі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пасажирського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транспорту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місті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Лисичанськ</w:t>
            </w:r>
            <w:proofErr w:type="spellEnd"/>
            <w:r w:rsidRPr="00722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4551" w:rsidRDefault="00524551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266534" w:rsidRPr="00266534" w:rsidRDefault="00266534" w:rsidP="0026653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2665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:rsidR="00266534" w:rsidRPr="00266534" w:rsidRDefault="00266534" w:rsidP="002665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266534" w:rsidRDefault="00266534" w:rsidP="00266534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266534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Опис вигід та витрат за кожною альтернативою для сфер інтересів держави, громадян та суб'єктів господарювання.</w:t>
      </w:r>
    </w:p>
    <w:p w:rsidR="00266534" w:rsidRDefault="00266534" w:rsidP="00266534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775198" w:rsidRDefault="00775198" w:rsidP="00266534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775198" w:rsidRDefault="00775198" w:rsidP="00266534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775198" w:rsidRDefault="00775198" w:rsidP="00266534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266534" w:rsidRPr="00266534" w:rsidRDefault="00266534" w:rsidP="00266534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2665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lastRenderedPageBreak/>
        <w:t>Оцінка впливу на сферу інтересів держави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47"/>
        <w:gridCol w:w="3396"/>
      </w:tblGrid>
      <w:tr w:rsidR="00266534" w:rsidRPr="00266534" w:rsidTr="00266534">
        <w:trPr>
          <w:trHeight w:val="20"/>
          <w:jc w:val="center"/>
        </w:trPr>
        <w:tc>
          <w:tcPr>
            <w:tcW w:w="3085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ind w:firstLine="22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147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0" w:type="auto"/>
            <w:vAlign w:val="center"/>
          </w:tcPr>
          <w:p w:rsidR="00266534" w:rsidRPr="00266534" w:rsidRDefault="00266534" w:rsidP="00266534">
            <w:pPr>
              <w:shd w:val="clear" w:color="auto" w:fill="FFFFFF"/>
              <w:ind w:firstLine="9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266534" w:rsidRPr="00775198" w:rsidTr="00266534">
        <w:trPr>
          <w:trHeight w:val="20"/>
          <w:jc w:val="center"/>
        </w:trPr>
        <w:tc>
          <w:tcPr>
            <w:tcW w:w="3085" w:type="dxa"/>
            <w:vAlign w:val="center"/>
          </w:tcPr>
          <w:p w:rsidR="00266534" w:rsidRPr="00266534" w:rsidRDefault="00266534" w:rsidP="00266534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Альтернатива 1 </w:t>
            </w:r>
          </w:p>
          <w:p w:rsidR="00266534" w:rsidRPr="00266534" w:rsidRDefault="00266534" w:rsidP="00266534">
            <w:pPr>
              <w:shd w:val="clear" w:color="auto" w:fill="FFFFFF"/>
              <w:ind w:firstLine="22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акту)</w:t>
            </w:r>
          </w:p>
        </w:tc>
        <w:tc>
          <w:tcPr>
            <w:tcW w:w="3147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0" w:type="auto"/>
            <w:vAlign w:val="center"/>
          </w:tcPr>
          <w:p w:rsidR="00266534" w:rsidRPr="00266534" w:rsidRDefault="00266534" w:rsidP="00266534">
            <w:pPr>
              <w:shd w:val="clear" w:color="auto" w:fill="FFFFFF"/>
              <w:ind w:firstLine="9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Збільшення боргових зобов’язань суб’єктів господарювання, що понесені у зв'язку з виконанням зобов'язання з надання послуг, що несут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ь загальний економічний інтерес</w:t>
            </w:r>
          </w:p>
        </w:tc>
      </w:tr>
      <w:tr w:rsidR="00266534" w:rsidRPr="00266534" w:rsidTr="00266534">
        <w:trPr>
          <w:trHeight w:val="20"/>
          <w:jc w:val="center"/>
        </w:trPr>
        <w:tc>
          <w:tcPr>
            <w:tcW w:w="3085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ind w:firstLine="22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2</w:t>
            </w:r>
          </w:p>
          <w:p w:rsidR="00266534" w:rsidRPr="00266534" w:rsidRDefault="00266534" w:rsidP="00266534">
            <w:pPr>
              <w:shd w:val="clear" w:color="auto" w:fill="FFFFFF"/>
              <w:ind w:firstLine="22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Прийняття регуляторного </w:t>
            </w:r>
            <w:proofErr w:type="spellStart"/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3147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Підвищення прозорості дій місцевої влади, точний облік витрат суб’єктів господарювання, що забезпечить надання достовірних даних для подальшого відшкодування витрат понесених на надання послуг, що несуть загальний економічний інтерес.</w:t>
            </w:r>
          </w:p>
        </w:tc>
        <w:tc>
          <w:tcPr>
            <w:tcW w:w="0" w:type="auto"/>
            <w:vAlign w:val="center"/>
          </w:tcPr>
          <w:p w:rsidR="00266534" w:rsidRPr="00266534" w:rsidRDefault="00266534" w:rsidP="00266534">
            <w:pPr>
              <w:shd w:val="clear" w:color="auto" w:fill="FFFFFF"/>
              <w:ind w:firstLine="9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Усунення заборгованості суб’єктів господарювання, що виникає у процесі перевезення пасажирів міським пасажирським транспортом загального користування у місті Лисичанськ</w:t>
            </w:r>
          </w:p>
        </w:tc>
      </w:tr>
    </w:tbl>
    <w:p w:rsidR="00266534" w:rsidRPr="00266534" w:rsidRDefault="00266534" w:rsidP="00266534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266534" w:rsidRPr="00266534" w:rsidRDefault="00266534" w:rsidP="002665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2665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Оцінка впливу на сферу інтересів громадян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576"/>
        <w:gridCol w:w="2967"/>
      </w:tblGrid>
      <w:tr w:rsidR="00266534" w:rsidRPr="00266534" w:rsidTr="003212A5">
        <w:trPr>
          <w:trHeight w:val="20"/>
          <w:jc w:val="center"/>
        </w:trPr>
        <w:tc>
          <w:tcPr>
            <w:tcW w:w="3085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proofErr w:type="spellStart"/>
            <w:r w:rsidRPr="0026653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ид</w:t>
            </w:r>
            <w:proofErr w:type="spellEnd"/>
            <w:r w:rsidRPr="0026653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 xml:space="preserve"> альтернативи</w:t>
            </w:r>
          </w:p>
        </w:tc>
        <w:tc>
          <w:tcPr>
            <w:tcW w:w="3576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0" w:type="auto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266534" w:rsidRPr="00266534" w:rsidTr="003212A5">
        <w:trPr>
          <w:trHeight w:val="20"/>
          <w:jc w:val="center"/>
        </w:trPr>
        <w:tc>
          <w:tcPr>
            <w:tcW w:w="3085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1</w:t>
            </w:r>
          </w:p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акту)</w:t>
            </w:r>
          </w:p>
        </w:tc>
        <w:tc>
          <w:tcPr>
            <w:tcW w:w="3576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0" w:type="auto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Неможливість отримувати якісні послуги з перевезення</w:t>
            </w:r>
          </w:p>
        </w:tc>
      </w:tr>
      <w:tr w:rsidR="00266534" w:rsidRPr="00266534" w:rsidTr="003212A5">
        <w:trPr>
          <w:trHeight w:val="20"/>
          <w:jc w:val="center"/>
        </w:trPr>
        <w:tc>
          <w:tcPr>
            <w:tcW w:w="3085" w:type="dxa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2</w:t>
            </w:r>
          </w:p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Прийняття регуляторного </w:t>
            </w:r>
            <w:proofErr w:type="spellStart"/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3576" w:type="dxa"/>
            <w:vAlign w:val="center"/>
          </w:tcPr>
          <w:p w:rsidR="00266534" w:rsidRPr="00266534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Отримання</w:t>
            </w: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існих послуг з перевезення міським транспортом</w:t>
            </w: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обслуговування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,</w:t>
            </w: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к</w:t>
            </w: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омфорт та зручність</w:t>
            </w:r>
          </w:p>
        </w:tc>
        <w:tc>
          <w:tcPr>
            <w:tcW w:w="0" w:type="auto"/>
            <w:vAlign w:val="center"/>
          </w:tcPr>
          <w:p w:rsidR="00266534" w:rsidRPr="00266534" w:rsidRDefault="00603908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Відсутні</w:t>
            </w:r>
          </w:p>
        </w:tc>
      </w:tr>
    </w:tbl>
    <w:p w:rsidR="00524551" w:rsidRPr="00266534" w:rsidRDefault="00524551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3C768D" w:rsidRDefault="00266534" w:rsidP="009A1B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26653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tbl>
      <w:tblPr>
        <w:tblStyle w:val="a5"/>
        <w:tblW w:w="9626" w:type="dxa"/>
        <w:tblLook w:val="04A0" w:firstRow="1" w:lastRow="0" w:firstColumn="1" w:lastColumn="0" w:noHBand="0" w:noVBand="1"/>
      </w:tblPr>
      <w:tblGrid>
        <w:gridCol w:w="2256"/>
        <w:gridCol w:w="1482"/>
        <w:gridCol w:w="1501"/>
        <w:gridCol w:w="1448"/>
        <w:gridCol w:w="1473"/>
        <w:gridCol w:w="1466"/>
      </w:tblGrid>
      <w:tr w:rsidR="00266534" w:rsidTr="00266534">
        <w:tc>
          <w:tcPr>
            <w:tcW w:w="2256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Показник</w:t>
            </w:r>
            <w:proofErr w:type="spellEnd"/>
          </w:p>
        </w:tc>
        <w:tc>
          <w:tcPr>
            <w:tcW w:w="1482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Великі</w:t>
            </w:r>
            <w:proofErr w:type="spellEnd"/>
          </w:p>
        </w:tc>
        <w:tc>
          <w:tcPr>
            <w:tcW w:w="1501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Середні</w:t>
            </w:r>
            <w:proofErr w:type="spellEnd"/>
          </w:p>
        </w:tc>
        <w:tc>
          <w:tcPr>
            <w:tcW w:w="1448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Малі</w:t>
            </w:r>
            <w:proofErr w:type="spellEnd"/>
          </w:p>
        </w:tc>
        <w:tc>
          <w:tcPr>
            <w:tcW w:w="1473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Мікро</w:t>
            </w:r>
            <w:proofErr w:type="spellEnd"/>
          </w:p>
        </w:tc>
        <w:tc>
          <w:tcPr>
            <w:tcW w:w="1466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Разом</w:t>
            </w:r>
          </w:p>
        </w:tc>
      </w:tr>
      <w:tr w:rsidR="00266534" w:rsidTr="00266534">
        <w:tc>
          <w:tcPr>
            <w:tcW w:w="2256" w:type="dxa"/>
          </w:tcPr>
          <w:p w:rsidR="00266534" w:rsidRPr="00266534" w:rsidRDefault="00266534" w:rsidP="0026653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482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1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8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3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6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6534" w:rsidTr="00266534">
        <w:tc>
          <w:tcPr>
            <w:tcW w:w="2256" w:type="dxa"/>
          </w:tcPr>
          <w:p w:rsidR="00266534" w:rsidRDefault="00266534" w:rsidP="00266534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Питома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вага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загальній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відсотків</w:t>
            </w:r>
            <w:proofErr w:type="spellEnd"/>
          </w:p>
        </w:tc>
        <w:tc>
          <w:tcPr>
            <w:tcW w:w="1482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1" w:type="dxa"/>
          </w:tcPr>
          <w:p w:rsidR="00266534" w:rsidRPr="0060390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6039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448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3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6" w:type="dxa"/>
          </w:tcPr>
          <w:p w:rsidR="00266534" w:rsidRPr="009A1B98" w:rsidRDefault="00266534" w:rsidP="007751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266534" w:rsidRDefault="00266534" w:rsidP="009A1B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266534" w:rsidRPr="00266534" w:rsidRDefault="00266534" w:rsidP="009A1B9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290"/>
        <w:gridCol w:w="3326"/>
        <w:gridCol w:w="3012"/>
      </w:tblGrid>
      <w:tr w:rsidR="00266534" w:rsidRPr="00266534" w:rsidTr="003212A5">
        <w:trPr>
          <w:trHeight w:val="20"/>
          <w:jc w:val="center"/>
        </w:trPr>
        <w:tc>
          <w:tcPr>
            <w:tcW w:w="1709" w:type="pct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1727" w:type="pct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1564" w:type="pct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266534" w:rsidRPr="00266534" w:rsidTr="003212A5">
        <w:trPr>
          <w:trHeight w:val="20"/>
          <w:jc w:val="center"/>
        </w:trPr>
        <w:tc>
          <w:tcPr>
            <w:tcW w:w="1709" w:type="pct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1</w:t>
            </w:r>
          </w:p>
          <w:p w:rsidR="00266534" w:rsidRPr="00266534" w:rsidRDefault="00603908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акту</w:t>
            </w:r>
          </w:p>
        </w:tc>
        <w:tc>
          <w:tcPr>
            <w:tcW w:w="1727" w:type="pct"/>
            <w:vAlign w:val="center"/>
          </w:tcPr>
          <w:p w:rsidR="00266534" w:rsidRPr="00266534" w:rsidRDefault="00603908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1564" w:type="pct"/>
            <w:vAlign w:val="center"/>
          </w:tcPr>
          <w:p w:rsidR="00266534" w:rsidRPr="00266534" w:rsidRDefault="00603908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Неможливість отримання </w:t>
            </w:r>
            <w:r w:rsidRPr="00722D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компенсації обґрунтованих витрат на надання послуг, що становлять загальний економічний інтерес - перевезення пасажирів міським пасажирським транспортом загального користування</w:t>
            </w:r>
          </w:p>
        </w:tc>
      </w:tr>
      <w:tr w:rsidR="00266534" w:rsidRPr="00266534" w:rsidTr="003212A5">
        <w:trPr>
          <w:trHeight w:val="20"/>
          <w:jc w:val="center"/>
        </w:trPr>
        <w:tc>
          <w:tcPr>
            <w:tcW w:w="1709" w:type="pct"/>
            <w:vAlign w:val="center"/>
          </w:tcPr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2</w:t>
            </w:r>
          </w:p>
          <w:p w:rsidR="00266534" w:rsidRPr="00266534" w:rsidRDefault="00266534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Прийняття регуляторного </w:t>
            </w:r>
            <w:proofErr w:type="spellStart"/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1727" w:type="pct"/>
            <w:vAlign w:val="center"/>
          </w:tcPr>
          <w:p w:rsidR="00266534" w:rsidRPr="00266534" w:rsidRDefault="00603908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Гарантоване отримання компенсації витрат, понесених у зв'язку з виконанням зобов'язання з надання послуг, що несуть загальний економічний інтерес</w:t>
            </w:r>
          </w:p>
        </w:tc>
        <w:tc>
          <w:tcPr>
            <w:tcW w:w="1564" w:type="pct"/>
            <w:vAlign w:val="center"/>
          </w:tcPr>
          <w:p w:rsidR="00266534" w:rsidRPr="00266534" w:rsidRDefault="00603908" w:rsidP="0026653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Витрати на заробітну плату працівників, яку забезпечать ведення відповідного обліку доходів і витрат</w:t>
            </w:r>
          </w:p>
        </w:tc>
      </w:tr>
    </w:tbl>
    <w:p w:rsidR="00266534" w:rsidRDefault="00266534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6369CD" w:rsidTr="006369CD">
        <w:tc>
          <w:tcPr>
            <w:tcW w:w="5240" w:type="dxa"/>
          </w:tcPr>
          <w:p w:rsidR="006369CD" w:rsidRDefault="006369CD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111" w:type="dxa"/>
          </w:tcPr>
          <w:p w:rsidR="006369CD" w:rsidRDefault="006369CD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6369CD" w:rsidTr="006369CD">
        <w:tc>
          <w:tcPr>
            <w:tcW w:w="5240" w:type="dxa"/>
          </w:tcPr>
          <w:p w:rsidR="006369CD" w:rsidRPr="00B855CF" w:rsidRDefault="006369CD" w:rsidP="006369CD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B855C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1</w:t>
            </w:r>
          </w:p>
          <w:p w:rsidR="006369CD" w:rsidRPr="00B855CF" w:rsidRDefault="006369CD" w:rsidP="006369CD">
            <w:pPr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B85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Pr="00B85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 w:rsidRPr="00B85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B85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5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 w:rsidRPr="00B855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акту</w:t>
            </w:r>
          </w:p>
        </w:tc>
        <w:tc>
          <w:tcPr>
            <w:tcW w:w="4111" w:type="dxa"/>
          </w:tcPr>
          <w:p w:rsidR="006369CD" w:rsidRPr="00B855CF" w:rsidRDefault="00B855CF" w:rsidP="00B855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B855C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Відсутні</w:t>
            </w:r>
          </w:p>
        </w:tc>
      </w:tr>
      <w:tr w:rsidR="006369CD" w:rsidTr="006369CD">
        <w:tc>
          <w:tcPr>
            <w:tcW w:w="5240" w:type="dxa"/>
          </w:tcPr>
          <w:p w:rsidR="006369CD" w:rsidRPr="00B855CF" w:rsidRDefault="006369CD" w:rsidP="006369CD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B855C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2</w:t>
            </w:r>
          </w:p>
          <w:p w:rsidR="006369CD" w:rsidRPr="00B855CF" w:rsidRDefault="006369CD" w:rsidP="006369CD">
            <w:pPr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B855C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Прийняття регуляторного </w:t>
            </w:r>
            <w:proofErr w:type="spellStart"/>
            <w:r w:rsidRPr="00B855C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4111" w:type="dxa"/>
          </w:tcPr>
          <w:p w:rsidR="006369CD" w:rsidRPr="00B855CF" w:rsidRDefault="00B855CF" w:rsidP="00B855C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B855C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88580</w:t>
            </w:r>
          </w:p>
        </w:tc>
      </w:tr>
    </w:tbl>
    <w:p w:rsidR="00807C2E" w:rsidRPr="00266534" w:rsidRDefault="00807C2E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603908" w:rsidRPr="00603908" w:rsidRDefault="00603908" w:rsidP="001B12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60390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IV. Вибір найбільш оптимального альтернативного способу досягнення цілей</w:t>
      </w:r>
    </w:p>
    <w:p w:rsidR="00603908" w:rsidRPr="00603908" w:rsidRDefault="00603908" w:rsidP="006039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8"/>
        <w:gridCol w:w="2739"/>
        <w:gridCol w:w="4011"/>
      </w:tblGrid>
      <w:tr w:rsidR="00914C8A" w:rsidRPr="00603908" w:rsidTr="003212A5">
        <w:trPr>
          <w:trHeight w:val="20"/>
        </w:trPr>
        <w:tc>
          <w:tcPr>
            <w:tcW w:w="0" w:type="auto"/>
            <w:vAlign w:val="center"/>
            <w:hideMark/>
          </w:tcPr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0" w:type="auto"/>
            <w:vAlign w:val="center"/>
            <w:hideMark/>
          </w:tcPr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0" w:type="auto"/>
            <w:vAlign w:val="center"/>
            <w:hideMark/>
          </w:tcPr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 xml:space="preserve">Коментарі щодо присвоєння відповідного </w:t>
            </w:r>
            <w:proofErr w:type="spellStart"/>
            <w:r w:rsidRPr="0060390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бала</w:t>
            </w:r>
            <w:proofErr w:type="spellEnd"/>
          </w:p>
        </w:tc>
      </w:tr>
      <w:tr w:rsidR="00914C8A" w:rsidRPr="00603908" w:rsidTr="00603908">
        <w:trPr>
          <w:trHeight w:val="20"/>
        </w:trPr>
        <w:tc>
          <w:tcPr>
            <w:tcW w:w="0" w:type="auto"/>
            <w:vAlign w:val="center"/>
            <w:hideMark/>
          </w:tcPr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1</w:t>
            </w:r>
          </w:p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акту</w:t>
            </w:r>
          </w:p>
        </w:tc>
        <w:tc>
          <w:tcPr>
            <w:tcW w:w="0" w:type="auto"/>
            <w:vAlign w:val="center"/>
            <w:hideMark/>
          </w:tcPr>
          <w:p w:rsidR="00603908" w:rsidRPr="00603908" w:rsidRDefault="00603908" w:rsidP="00664FE4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Проблема продовжує існувати</w:t>
            </w:r>
          </w:p>
        </w:tc>
      </w:tr>
      <w:tr w:rsidR="00914C8A" w:rsidRPr="00603908" w:rsidTr="00603908">
        <w:trPr>
          <w:trHeight w:val="20"/>
        </w:trPr>
        <w:tc>
          <w:tcPr>
            <w:tcW w:w="0" w:type="auto"/>
            <w:vAlign w:val="center"/>
            <w:hideMark/>
          </w:tcPr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lastRenderedPageBreak/>
              <w:t>Альтернатива 2</w:t>
            </w:r>
          </w:p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Прийняття регуляторного </w:t>
            </w:r>
            <w:proofErr w:type="spellStart"/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908" w:rsidRPr="00603908" w:rsidRDefault="00603908" w:rsidP="00664FE4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Цей регуляторний акт відповідає потребам у розв’язанні визначеної проблеми та принципам державної регуляторної політики. Затвердження такого регуляторного </w:t>
            </w:r>
            <w:proofErr w:type="spellStart"/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забезпечить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досягнення поставленої цілі.</w:t>
            </w:r>
          </w:p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Будуть захищені інтереси громади міста при користуванні міським транспортом,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а</w:t>
            </w: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перевізники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матимуть право</w:t>
            </w: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 отримувати компенсацію за витрати, понесені у зв'язку з виконанням зобов'язання з надання послуг, що несуть загальний економічний інтерес</w:t>
            </w:r>
          </w:p>
          <w:p w:rsidR="00603908" w:rsidRPr="00603908" w:rsidRDefault="00603908" w:rsidP="0060390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</w:p>
        </w:tc>
      </w:tr>
    </w:tbl>
    <w:p w:rsidR="00603908" w:rsidRPr="00603908" w:rsidRDefault="00603908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3C768D" w:rsidRDefault="003C768D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Рейтинг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результативності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2314"/>
        <w:gridCol w:w="2314"/>
        <w:gridCol w:w="2294"/>
      </w:tblGrid>
      <w:tr w:rsidR="001B1238" w:rsidTr="00295043">
        <w:tc>
          <w:tcPr>
            <w:tcW w:w="2423" w:type="dxa"/>
          </w:tcPr>
          <w:p w:rsidR="001B1238" w:rsidRDefault="001B123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Рейтинг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результативності</w:t>
            </w:r>
            <w:proofErr w:type="spellEnd"/>
          </w:p>
        </w:tc>
        <w:tc>
          <w:tcPr>
            <w:tcW w:w="2314" w:type="dxa"/>
          </w:tcPr>
          <w:p w:rsidR="001B1238" w:rsidRDefault="001B123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Вигоди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підсумок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14" w:type="dxa"/>
          </w:tcPr>
          <w:p w:rsidR="001B1238" w:rsidRDefault="001B123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Витрати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підсумок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94" w:type="dxa"/>
          </w:tcPr>
          <w:p w:rsidR="001B1238" w:rsidRDefault="001B123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Обґрунтування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місця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альтернативи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 рейтингу</w:t>
            </w:r>
          </w:p>
        </w:tc>
      </w:tr>
      <w:tr w:rsidR="001B1238" w:rsidTr="00295043">
        <w:tc>
          <w:tcPr>
            <w:tcW w:w="2423" w:type="dxa"/>
          </w:tcPr>
          <w:p w:rsidR="001B1238" w:rsidRPr="00603908" w:rsidRDefault="001B1238" w:rsidP="001B123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1</w:t>
            </w:r>
          </w:p>
          <w:p w:rsidR="001B1238" w:rsidRDefault="001B1238" w:rsidP="001B123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акту</w:t>
            </w:r>
            <w:r w:rsidR="002950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314" w:type="dxa"/>
          </w:tcPr>
          <w:p w:rsidR="001B1238" w:rsidRPr="001B1238" w:rsidRDefault="003C54BB" w:rsidP="009A1B98">
            <w:pPr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eastAsia="ru-RU"/>
              </w:rPr>
              <w:t>Відсутні</w:t>
            </w:r>
            <w:proofErr w:type="spellEnd"/>
          </w:p>
        </w:tc>
        <w:tc>
          <w:tcPr>
            <w:tcW w:w="2314" w:type="dxa"/>
          </w:tcPr>
          <w:p w:rsidR="001B1238" w:rsidRDefault="001B123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266534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Збільшення боргових зобов’язань суб’єктів господарювання, що понесені у зв'язку з виконанням зобов'язання з надання послуг, що несут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ь загальний економічний інтерес</w:t>
            </w:r>
          </w:p>
        </w:tc>
        <w:tc>
          <w:tcPr>
            <w:tcW w:w="2294" w:type="dxa"/>
          </w:tcPr>
          <w:p w:rsidR="001B1238" w:rsidRPr="00E52D33" w:rsidRDefault="001B123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сприяє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розв’язанню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проблеми</w:t>
            </w:r>
            <w:proofErr w:type="spellEnd"/>
          </w:p>
        </w:tc>
      </w:tr>
      <w:tr w:rsidR="001B1238" w:rsidTr="00295043">
        <w:tc>
          <w:tcPr>
            <w:tcW w:w="2423" w:type="dxa"/>
          </w:tcPr>
          <w:p w:rsidR="003C54BB" w:rsidRPr="00603908" w:rsidRDefault="003C54BB" w:rsidP="003C54BB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2</w:t>
            </w:r>
          </w:p>
          <w:p w:rsidR="001B1238" w:rsidRDefault="003C54BB" w:rsidP="003C54B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Прийняття регуляторного </w:t>
            </w:r>
            <w:proofErr w:type="spellStart"/>
            <w:r w:rsidRPr="00603908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2314" w:type="dxa"/>
          </w:tcPr>
          <w:p w:rsidR="003C54BB" w:rsidRDefault="003C54BB" w:rsidP="003C5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Підвищення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прозорості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місцевої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точний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забезпечить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достовірних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даних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подальшого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відшкодування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понесених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несуть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інтерес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C54BB" w:rsidRPr="009A1B98" w:rsidRDefault="003C54BB" w:rsidP="003C54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Комфорт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зручність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послуг </w:t>
            </w: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 перевезення міським транспортом</w:t>
            </w:r>
          </w:p>
          <w:p w:rsidR="001B1238" w:rsidRDefault="001B1238" w:rsidP="009A1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2314" w:type="dxa"/>
          </w:tcPr>
          <w:p w:rsidR="001B1238" w:rsidRDefault="003C54BB" w:rsidP="009A1B98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Усунення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заборгованості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виникає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перевезення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пасажирів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міським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пасажирським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транспортом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Лисичанськ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3C54BB" w:rsidRPr="003C54BB" w:rsidRDefault="003C54BB" w:rsidP="003C54B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</w:p>
        </w:tc>
        <w:tc>
          <w:tcPr>
            <w:tcW w:w="2294" w:type="dxa"/>
          </w:tcPr>
          <w:p w:rsidR="001B1238" w:rsidRPr="003C54BB" w:rsidRDefault="003C54BB" w:rsidP="00E52D33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Цілі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прийняття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регуляторного акта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будуть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досягнуті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повною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мірою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Будуть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захищені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інтереси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громадян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міста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користуванні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міським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транспортом, а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перевізники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будуть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</w:t>
            </w:r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ають</w:t>
            </w:r>
            <w:proofErr w:type="spellEnd"/>
            <w:r w:rsidR="00E52D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 на</w:t>
            </w:r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компенсацію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витрати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понесені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зв'язку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зобов'язань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несуть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економічний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1B1238" w:rsidRDefault="001B1238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3"/>
        <w:gridCol w:w="3711"/>
        <w:gridCol w:w="3434"/>
      </w:tblGrid>
      <w:tr w:rsidR="00295043" w:rsidRPr="00295043" w:rsidTr="003212A5">
        <w:trPr>
          <w:trHeight w:val="20"/>
        </w:trPr>
        <w:tc>
          <w:tcPr>
            <w:tcW w:w="2518" w:type="dxa"/>
            <w:vAlign w:val="center"/>
            <w:hideMark/>
          </w:tcPr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827" w:type="dxa"/>
            <w:vAlign w:val="center"/>
            <w:hideMark/>
          </w:tcPr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3509" w:type="dxa"/>
            <w:vAlign w:val="center"/>
            <w:hideMark/>
          </w:tcPr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29504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295043" w:rsidRPr="00295043" w:rsidTr="003212A5">
        <w:trPr>
          <w:trHeight w:val="20"/>
        </w:trPr>
        <w:tc>
          <w:tcPr>
            <w:tcW w:w="2518" w:type="dxa"/>
            <w:vAlign w:val="center"/>
            <w:hideMark/>
          </w:tcPr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1</w:t>
            </w:r>
          </w:p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Залишення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proofErr w:type="spellEnd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без змін (не прийняття регуляторного акту)</w:t>
            </w:r>
          </w:p>
        </w:tc>
        <w:tc>
          <w:tcPr>
            <w:tcW w:w="3827" w:type="dxa"/>
            <w:vAlign w:val="center"/>
            <w:hideMark/>
          </w:tcPr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У зазначеної альтернативи відсутні переваги, оскільки регулювання не </w:t>
            </w:r>
            <w:r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діє</w:t>
            </w:r>
          </w:p>
        </w:tc>
        <w:tc>
          <w:tcPr>
            <w:tcW w:w="3509" w:type="dxa"/>
            <w:vAlign w:val="center"/>
            <w:hideMark/>
          </w:tcPr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Відсутні</w:t>
            </w:r>
          </w:p>
        </w:tc>
      </w:tr>
      <w:tr w:rsidR="00295043" w:rsidRPr="00295043" w:rsidTr="003212A5">
        <w:trPr>
          <w:trHeight w:val="20"/>
        </w:trPr>
        <w:tc>
          <w:tcPr>
            <w:tcW w:w="2518" w:type="dxa"/>
            <w:vAlign w:val="center"/>
            <w:hideMark/>
          </w:tcPr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Альтернатива 2</w:t>
            </w:r>
          </w:p>
          <w:p w:rsidR="00295043" w:rsidRPr="00295043" w:rsidRDefault="00295043" w:rsidP="0029504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29504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Прийняття регуляторного </w:t>
            </w:r>
            <w:proofErr w:type="spellStart"/>
            <w:r w:rsidRPr="00295043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  <w:tc>
          <w:tcPr>
            <w:tcW w:w="3827" w:type="dxa"/>
            <w:vAlign w:val="center"/>
            <w:hideMark/>
          </w:tcPr>
          <w:p w:rsidR="00295043" w:rsidRPr="00543A2A" w:rsidRDefault="00295043" w:rsidP="00E52D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543A2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Найбільш прийнятна альтернатива, оскільки забезпечується </w:t>
            </w:r>
            <w:r w:rsidR="00543A2A" w:rsidRPr="00543A2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 xml:space="preserve">впровадження </w:t>
            </w:r>
            <w:r w:rsidR="00543A2A" w:rsidRPr="00543A2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>параметрів, на підставі яких розраховується компенсація за надання послуг із перевезення пасажирів пасажирським транспортом загального користування</w:t>
            </w:r>
            <w:r w:rsidR="00543A2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 xml:space="preserve">, та заходів </w:t>
            </w:r>
            <w:r w:rsidR="00543A2A" w:rsidRPr="00543A2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>щодо уникнення та повер</w:t>
            </w:r>
            <w:r w:rsidR="00543A2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>н</w:t>
            </w:r>
            <w:r w:rsidR="00543A2A" w:rsidRPr="00543A2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 w:eastAsia="ru-RU"/>
              </w:rPr>
              <w:t>ення компенсації у випадку надання надмірної компенсації</w:t>
            </w:r>
          </w:p>
        </w:tc>
        <w:tc>
          <w:tcPr>
            <w:tcW w:w="3509" w:type="dxa"/>
            <w:vAlign w:val="center"/>
            <w:hideMark/>
          </w:tcPr>
          <w:p w:rsidR="00295043" w:rsidRPr="00543A2A" w:rsidRDefault="00E52D33" w:rsidP="00E52D33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</w:pPr>
            <w:r w:rsidRPr="00543A2A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  <w:lang w:val="uk-UA" w:eastAsia="ru-RU"/>
              </w:rPr>
              <w:t>Зміна чинного законодавства з питань організації роботи міського пасажирського транспорту</w:t>
            </w:r>
          </w:p>
        </w:tc>
      </w:tr>
    </w:tbl>
    <w:p w:rsidR="001B1238" w:rsidRDefault="001B1238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664FE4" w:rsidRPr="00664FE4" w:rsidRDefault="00664FE4" w:rsidP="00543A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664FE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lastRenderedPageBreak/>
        <w:t>V. Механізми та заходи, які забезпечать розв'язання визначеної проблеми</w:t>
      </w:r>
    </w:p>
    <w:p w:rsidR="00664FE4" w:rsidRPr="00664FE4" w:rsidRDefault="00664FE4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E77C79" w:rsidRPr="00E77C79" w:rsidRDefault="00E77C79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1. </w:t>
      </w:r>
      <w:r w:rsidRPr="00E77C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Оприлюднення </w:t>
      </w:r>
      <w:proofErr w:type="spellStart"/>
      <w:r w:rsidRPr="00E77C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проєкту</w:t>
      </w:r>
      <w:proofErr w:type="spellEnd"/>
      <w:r w:rsidRPr="00E77C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розпорядження керівника Лисичанської міської ВЦА «Про затвердження Методики розрахунку компенсації за надання  послуг, що становлять загальний економічний інтерес – перевезення пасажирів міським пасажирським транспортом загального користування» разом з АРВ з метою отримання пропозицій та зауважень;</w:t>
      </w:r>
    </w:p>
    <w:p w:rsidR="00E77C79" w:rsidRPr="00E77C79" w:rsidRDefault="00E77C79" w:rsidP="00775198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E77C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2. Отримання пропозицій по удосконаленню від Державної регуляторної служби України;</w:t>
      </w:r>
    </w:p>
    <w:p w:rsidR="00E77C79" w:rsidRPr="00E77C79" w:rsidRDefault="00E77C79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E77C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З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апровадження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загального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механізму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об’єктивного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та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прозорого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обчислення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компенсації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обґрунтованих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витрат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надання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послуг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що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становлять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загальний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економічний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інтерес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-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перевезення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пасажирів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міським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пасажирським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транспортом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загального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користування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(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тролейбусами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та автобусами,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що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працюють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у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звичайному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режимі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руху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) у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місті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Лисичанськ</w:t>
      </w:r>
      <w:proofErr w:type="spellEnd"/>
      <w:r w:rsidRPr="00E77C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;</w:t>
      </w:r>
    </w:p>
    <w:p w:rsidR="00E77C79" w:rsidRDefault="00E77C79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E77C79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4. Проведення заходів з відстеження результативності прийнятого розпорядженн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я.</w:t>
      </w:r>
    </w:p>
    <w:p w:rsidR="00F61CB8" w:rsidRPr="00E77C79" w:rsidRDefault="00F61CB8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E77C79" w:rsidRPr="00E77C79" w:rsidRDefault="00E77C79" w:rsidP="00E77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E77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VI. Оцінка виконання вимог регуляторного </w:t>
      </w:r>
      <w:proofErr w:type="spellStart"/>
      <w:r w:rsidRPr="00E77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акта</w:t>
      </w:r>
      <w:proofErr w:type="spellEnd"/>
      <w:r w:rsidRPr="00E77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E77C79" w:rsidRPr="00E77C79" w:rsidRDefault="00E77C79" w:rsidP="00E77C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637801" w:rsidRPr="00637801" w:rsidRDefault="00807C2E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63780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Впровадження регуляторного акту не передбачає витрат державних органів. </w:t>
      </w:r>
    </w:p>
    <w:p w:rsidR="00F61CB8" w:rsidRDefault="00E77C79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color w:val="FF0000"/>
          <w:spacing w:val="-5"/>
          <w:sz w:val="28"/>
          <w:szCs w:val="28"/>
          <w:lang w:val="uk-UA" w:eastAsia="ru-RU"/>
        </w:rPr>
      </w:pPr>
      <w:r w:rsidRPr="0063780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Бюджетні витрати на </w:t>
      </w:r>
      <w:r w:rsidR="00807C2E" w:rsidRPr="0063780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виконання вимог регуляторного акту для органів місцевого самоврядування визначені згідно з додатком 3 до Методики проведення аналізу впливу регуляторного акту, затвердженого постановою Кабінету Міністрів України від 11.03.2004 № 308 «Про затвердження </w:t>
      </w:r>
      <w:proofErr w:type="spellStart"/>
      <w:r w:rsidR="00807C2E" w:rsidRPr="0063780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методик</w:t>
      </w:r>
      <w:proofErr w:type="spellEnd"/>
      <w:r w:rsidR="00807C2E" w:rsidRPr="0063780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проведення аналізу впливу та відстеження результативності регуляторного </w:t>
      </w:r>
      <w:proofErr w:type="spellStart"/>
      <w:r w:rsidR="00807C2E" w:rsidRPr="0063780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акта</w:t>
      </w:r>
      <w:proofErr w:type="spellEnd"/>
      <w:r w:rsidR="00807C2E" w:rsidRPr="00637801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».</w:t>
      </w:r>
    </w:p>
    <w:p w:rsidR="00E77C79" w:rsidRPr="00807C2E" w:rsidRDefault="00F61CB8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807C2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Підчас оцінки впливу регуляторного </w:t>
      </w:r>
      <w:proofErr w:type="spellStart"/>
      <w:r w:rsidRPr="00807C2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акта</w:t>
      </w:r>
      <w:proofErr w:type="spellEnd"/>
      <w:r w:rsidRPr="00807C2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на сферу інтересів суб’єктів господарювання виявлено, що регулювання не стосується суб’єктів малого підприємництва, отже розрахунок витрат на запровадження державного регулювання для суб’єктів малого підприємництва (М-тест) не проводився</w:t>
      </w:r>
      <w:r w:rsidR="00E77C79" w:rsidRPr="00807C2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.</w:t>
      </w:r>
    </w:p>
    <w:p w:rsidR="00E77C79" w:rsidRPr="00807C2E" w:rsidRDefault="00E77C79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E77C79" w:rsidRPr="00E77C79" w:rsidRDefault="00E77C79" w:rsidP="00E77C7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E77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VII. Обґрунтування запропонованого строку дії регуляторного </w:t>
      </w:r>
      <w:proofErr w:type="spellStart"/>
      <w:r w:rsidRPr="00E77C7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акта</w:t>
      </w:r>
      <w:proofErr w:type="spellEnd"/>
    </w:p>
    <w:p w:rsidR="00E77C79" w:rsidRPr="00E77C79" w:rsidRDefault="00E77C79" w:rsidP="00E77C7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E77C79" w:rsidRDefault="00991B7F" w:rsidP="00E77C79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1B7F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Регуляторний акт повинен бути безстроковим, оскільки дія регуляторного </w:t>
      </w:r>
      <w:proofErr w:type="spellStart"/>
      <w:r w:rsidRPr="00991B7F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>акта</w:t>
      </w:r>
      <w:proofErr w:type="spellEnd"/>
      <w:r w:rsidRPr="00991B7F">
        <w:rPr>
          <w:rFonts w:ascii="Times New Roman" w:eastAsia="Times New Roman" w:hAnsi="Times New Roman" w:cs="Times New Roman"/>
          <w:spacing w:val="-5"/>
          <w:sz w:val="28"/>
          <w:szCs w:val="28"/>
          <w:lang w:val="uk-UA" w:eastAsia="ru-RU"/>
        </w:rPr>
        <w:t xml:space="preserve"> забезпечує покриття витрат, понесених у зв'язку з виконанням зобов'язання з надання послуг, що несуть загальний економічний інтерес, які містяться в договорі про таку послугу. </w:t>
      </w:r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Даний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регуляторний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акт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діятиме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до </w:t>
      </w:r>
      <w:proofErr w:type="spellStart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прийняття</w:t>
      </w:r>
      <w:proofErr w:type="spellEnd"/>
      <w:r w:rsidRPr="009A1B9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нового акта.</w:t>
      </w:r>
    </w:p>
    <w:p w:rsidR="00E77C79" w:rsidRPr="00E77C79" w:rsidRDefault="00E77C79" w:rsidP="009A1B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3C768D" w:rsidRDefault="00991B7F" w:rsidP="00991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1B7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VIII. Визначення показників результативності дії регуляторного </w:t>
      </w:r>
      <w:proofErr w:type="spellStart"/>
      <w:r w:rsidRPr="00991B7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акта</w:t>
      </w:r>
      <w:proofErr w:type="spellEnd"/>
    </w:p>
    <w:p w:rsidR="00991B7F" w:rsidRPr="009A1B98" w:rsidRDefault="00991B7F" w:rsidP="009A1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2060C" w:rsidRDefault="0002060C" w:rsidP="0002060C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цілей державного регулювання, визначених у другому розділі аналізу регуляторного впливу, для відстеження результативності цього регуляторного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обрано такі прогнозні статистичні показники:</w:t>
      </w:r>
    </w:p>
    <w:p w:rsidR="00991B7F" w:rsidRPr="0002060C" w:rsidRDefault="0002060C" w:rsidP="0002060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ількість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суб`єктів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та/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поширюватиметься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02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 w:rsidRPr="000206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2060C" w:rsidRPr="0002060C" w:rsidRDefault="0002060C" w:rsidP="0002060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табільна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пасажирського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тролейбусів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автобусів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звичайному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%;</w:t>
      </w:r>
    </w:p>
    <w:p w:rsidR="0002060C" w:rsidRDefault="001D57D0" w:rsidP="0002060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р</w:t>
      </w:r>
      <w:proofErr w:type="spellStart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івень</w:t>
      </w:r>
      <w:proofErr w:type="spellEnd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поінформованості</w:t>
      </w:r>
      <w:proofErr w:type="spellEnd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суб`єктів</w:t>
      </w:r>
      <w:proofErr w:type="spellEnd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господарювання</w:t>
      </w:r>
      <w:proofErr w:type="spellEnd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перевізників, які здійснюють перевезення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пасажирськ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="00583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з </w:t>
      </w:r>
      <w:proofErr w:type="spellStart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основних</w:t>
      </w:r>
      <w:proofErr w:type="spellEnd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положень</w:t>
      </w:r>
      <w:proofErr w:type="spellEnd"/>
      <w:r w:rsidR="0002060C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, %.</w:t>
      </w:r>
    </w:p>
    <w:p w:rsidR="001D57D0" w:rsidRDefault="001D57D0" w:rsidP="00BF121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BF1217" w:rsidRDefault="00BF1217" w:rsidP="00BF121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BF12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BF12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акта</w:t>
      </w:r>
      <w:proofErr w:type="spellEnd"/>
    </w:p>
    <w:p w:rsidR="00BF1217" w:rsidRDefault="00BF1217" w:rsidP="00BF121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</w:p>
    <w:p w:rsidR="00BF1217" w:rsidRPr="00BF1217" w:rsidRDefault="00BF1217" w:rsidP="00BF1217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BF121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Базове відстеження результативності дії регуляторного акту здійснюватиметься до дати набрання чинності цього регуляторного </w:t>
      </w:r>
      <w:proofErr w:type="spellStart"/>
      <w:r w:rsidRPr="00BF121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акта</w:t>
      </w:r>
      <w:proofErr w:type="spellEnd"/>
      <w:r w:rsidRPr="00BF121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.</w:t>
      </w:r>
    </w:p>
    <w:p w:rsidR="00BF1217" w:rsidRDefault="00BF1217" w:rsidP="00BF1217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BF121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Повторне відстеження результативності регуляторного акту буде здійснено через рік з дня набрання ним чинності, але не пізніше двох років з дня набрання чинності.</w:t>
      </w:r>
    </w:p>
    <w:p w:rsidR="00A212BE" w:rsidRDefault="00A212BE" w:rsidP="00BF1217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A212B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З огляду на показники результативності, визначені в попередньому розділі аналізу регуляторного впливу, відстеження буде проводитись за допомогою статистичного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та аналітичного</w:t>
      </w:r>
      <w:r w:rsidRPr="00A212B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метод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ів</w:t>
      </w:r>
      <w:r w:rsidRPr="00A212BE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>.</w:t>
      </w:r>
    </w:p>
    <w:p w:rsidR="00B855CF" w:rsidRDefault="00942CF3" w:rsidP="00543A2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У рамках</w:t>
      </w:r>
      <w:proofErr w:type="gramEnd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зазначених</w:t>
      </w:r>
      <w:proofErr w:type="spellEnd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методів</w:t>
      </w:r>
      <w:proofErr w:type="spellEnd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proofErr w:type="spellStart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відстеження</w:t>
      </w:r>
      <w:proofErr w:type="spellEnd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буде проведено </w:t>
      </w:r>
      <w:proofErr w:type="spellStart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аналіз</w:t>
      </w:r>
      <w:proofErr w:type="spellEnd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статистичної та/або оперативної </w:t>
      </w:r>
      <w:proofErr w:type="spellStart"/>
      <w:r w:rsidRPr="00942CF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звітності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 </w:t>
      </w:r>
      <w:r w:rsidR="0058309F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t xml:space="preserve">перевізників, які здійснюють перевезення </w:t>
      </w:r>
      <w:proofErr w:type="spellStart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 w:rsidR="00583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пасажирськ</w:t>
      </w:r>
      <w:r w:rsidR="00583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proofErr w:type="spellEnd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</w:t>
      </w:r>
      <w:proofErr w:type="spellStart"/>
      <w:r w:rsidR="00583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proofErr w:type="spellEnd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09F" w:rsidRPr="009A1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="0058309F" w:rsidRPr="0002060C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звичайному</w:t>
      </w:r>
      <w:proofErr w:type="spellEnd"/>
      <w:r w:rsid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="005830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43A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3A2A" w:rsidRDefault="00543A2A" w:rsidP="00543A2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198" w:rsidRDefault="0077519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198" w:rsidRDefault="0077519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198" w:rsidRDefault="00775198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5198" w:rsidRDefault="00775198" w:rsidP="007751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Начальник управління </w:t>
      </w:r>
    </w:p>
    <w:p w:rsidR="00775198" w:rsidRDefault="00775198" w:rsidP="007751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житлово-комунального господарства</w:t>
      </w:r>
    </w:p>
    <w:p w:rsidR="00775198" w:rsidRPr="00942CF3" w:rsidRDefault="00775198" w:rsidP="007751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  <w:t>Віталій САХАНЬ</w:t>
      </w:r>
    </w:p>
    <w:p w:rsidR="00993A20" w:rsidRDefault="00993A2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3A20" w:rsidRPr="00993A20" w:rsidRDefault="00993A20" w:rsidP="00993A2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Начальник відділу планування</w:t>
      </w:r>
    </w:p>
    <w:p w:rsidR="00993A20" w:rsidRPr="00993A20" w:rsidRDefault="00993A20" w:rsidP="00993A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та економічного аналізу управління </w:t>
      </w:r>
    </w:p>
    <w:p w:rsidR="00993A20" w:rsidRPr="00993A20" w:rsidRDefault="00993A20" w:rsidP="00993A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житлово-комунального господарства</w:t>
      </w:r>
    </w:p>
    <w:p w:rsidR="00993A20" w:rsidRDefault="00993A20" w:rsidP="00993A20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  <w:t>Олена ЄРЬОМЕНКО</w:t>
      </w:r>
    </w:p>
    <w:p w:rsidR="00543A2A" w:rsidRDefault="00543A2A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543A2A" w:rsidRDefault="00543A2A" w:rsidP="00543A2A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55CF" w:rsidRPr="0083377F" w:rsidRDefault="00B855CF" w:rsidP="00B855CF">
      <w:pPr>
        <w:pStyle w:val="Textbody"/>
        <w:spacing w:after="0" w:line="240" w:lineRule="auto"/>
        <w:ind w:firstLine="3963"/>
        <w:jc w:val="center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Згідно</w:t>
      </w:r>
      <w:proofErr w:type="spellEnd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Додатком</w:t>
      </w:r>
      <w:proofErr w:type="spellEnd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2</w:t>
      </w:r>
    </w:p>
    <w:p w:rsidR="00B855CF" w:rsidRPr="0083377F" w:rsidRDefault="00B855CF" w:rsidP="00B855CF">
      <w:pPr>
        <w:pStyle w:val="Textbody"/>
        <w:spacing w:after="0" w:line="240" w:lineRule="auto"/>
        <w:ind w:firstLine="3950"/>
        <w:jc w:val="center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до Методики </w:t>
      </w:r>
      <w:proofErr w:type="spellStart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проведення</w:t>
      </w:r>
      <w:proofErr w:type="spellEnd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аналізу</w:t>
      </w:r>
      <w:proofErr w:type="spellEnd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впливу</w:t>
      </w:r>
      <w:proofErr w:type="spellEnd"/>
    </w:p>
    <w:p w:rsidR="00B855CF" w:rsidRPr="0083377F" w:rsidRDefault="00B855CF" w:rsidP="00B855CF">
      <w:pPr>
        <w:pStyle w:val="Textbody"/>
        <w:spacing w:after="0" w:line="240" w:lineRule="auto"/>
        <w:ind w:firstLine="3938"/>
        <w:jc w:val="center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 w:rsidRPr="0083377F"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регуляторного акта</w:t>
      </w:r>
    </w:p>
    <w:p w:rsidR="00B855CF" w:rsidRPr="0083377F" w:rsidRDefault="00B855CF" w:rsidP="00B855CF">
      <w:pPr>
        <w:pStyle w:val="Textbody"/>
        <w:spacing w:after="0" w:line="240" w:lineRule="auto"/>
        <w:rPr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</w:t>
      </w:r>
    </w:p>
    <w:p w:rsidR="00B855CF" w:rsidRPr="003E2D7A" w:rsidRDefault="00B855CF" w:rsidP="00B855CF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ВИТРАТИ</w:t>
      </w:r>
    </w:p>
    <w:p w:rsidR="00B855CF" w:rsidRDefault="00B855CF" w:rsidP="00B855CF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на одного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суб'єкта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великого і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середнього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підприємництва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виникають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внаслідок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дії</w:t>
      </w:r>
      <w:proofErr w:type="spellEnd"/>
      <w:r w:rsidRPr="003E2D7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регуляторного акта</w:t>
      </w:r>
    </w:p>
    <w:p w:rsidR="00CF505D" w:rsidRDefault="00CF505D" w:rsidP="00B855CF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проєкту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 розпорядження керівника Лисичанської міської військово-цивільної адміністрації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Сєвєродонецького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 району Луганської області</w:t>
      </w:r>
    </w:p>
    <w:p w:rsidR="00B855CF" w:rsidRDefault="00B855CF" w:rsidP="00B855CF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«Про затвердження Методики розрахунку компенсації за надання  послуг, що становлять загальний економічний інтерес – перевезення пасажирів міським пасажирським транспортом загального користування»</w:t>
      </w:r>
    </w:p>
    <w:p w:rsidR="00B855CF" w:rsidRPr="003E2D7A" w:rsidRDefault="00B855CF" w:rsidP="00B855CF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5512"/>
        <w:gridCol w:w="1688"/>
        <w:gridCol w:w="1725"/>
      </w:tblGrid>
      <w:tr w:rsidR="00B855CF" w:rsidRPr="003E2D7A" w:rsidTr="00F12F17"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B855C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B855C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B855C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  <w:proofErr w:type="spellEnd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B855CF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п'ять</w:t>
            </w:r>
            <w:proofErr w:type="spellEnd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</w:tr>
      <w:tr w:rsidR="00B855CF" w:rsidRPr="003E2D7A" w:rsidTr="00F12F17"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B855CF" w:rsidRDefault="00B855CF" w:rsidP="00775198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B855CF" w:rsidRDefault="00B855CF" w:rsidP="00775198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B855CF" w:rsidRDefault="00B855CF" w:rsidP="00775198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B855CF" w:rsidRDefault="00B855CF" w:rsidP="00775198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855CF" w:rsidRPr="00473695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B855CF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Витрати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придбання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основних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фондів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обладнання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приладів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сервісне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навчання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підвищення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персоналу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тощо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B855CF" w:rsidRPr="00473695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B855CF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Податки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збори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зміна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розміру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податків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зборів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виникнення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необхідності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сплаті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податків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зборів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B855CF" w:rsidRPr="00473695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Витрати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пов’язані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із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веденням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обліку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підготовкою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поданням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звітності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державним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органам,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44290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221450</w:t>
            </w:r>
          </w:p>
        </w:tc>
      </w:tr>
      <w:tr w:rsidR="00B855CF" w:rsidRPr="003E2D7A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Витрати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пов’язані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адмініструванням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заходів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нагляду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(контролю) </w:t>
            </w: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перевірок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штрафних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санкцій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виконання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рішень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/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приписів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B855CF" w:rsidRPr="00B855CF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Витрати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отримання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адміністративних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послуг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дозволів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ліцензій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сертифікатів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атестатів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погоджень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висновків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незалежних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обов’язкових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експертиз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сертифікації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атестації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інших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послуг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наукових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інших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експертиз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страхування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тощо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B855CF" w:rsidRPr="00473695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Витрати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оборотні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активи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матеріали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канцелярські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товари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тощо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B855CF" w:rsidRPr="00473695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Витрати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пов’язані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із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наймом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додаткового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персоналу,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B855CF" w:rsidRPr="003E2D7A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Інше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543A2A" w:rsidRPr="003E2D7A" w:rsidTr="00781B35"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A2A" w:rsidRPr="00B855CF" w:rsidRDefault="00543A2A" w:rsidP="00781B3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A2A" w:rsidRPr="00B855CF" w:rsidRDefault="00543A2A" w:rsidP="00781B3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A2A" w:rsidRPr="00B855CF" w:rsidRDefault="00543A2A" w:rsidP="00781B3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3A2A" w:rsidRPr="00B855CF" w:rsidRDefault="00543A2A" w:rsidP="00781B35">
            <w:pPr>
              <w:pStyle w:val="TableContents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855CF" w:rsidRPr="003E2D7A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РАЗОМ,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44290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221450</w:t>
            </w:r>
          </w:p>
        </w:tc>
      </w:tr>
      <w:tr w:rsidR="00B855CF" w:rsidRPr="00473695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Кількість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суб’єктів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великого та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середнього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підприємництва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яких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буде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поширено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регулювання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одиниць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B855CF" w:rsidRPr="00473695" w:rsidTr="00F12F17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Сумарні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витрати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суб’єктів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великого та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середнього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підприємництва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на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виконання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регулювання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вартість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регулювання</w:t>
            </w:r>
            <w:proofErr w:type="spellEnd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), </w:t>
            </w:r>
            <w:proofErr w:type="spellStart"/>
            <w:r w:rsidRPr="003E2D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88580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5CF" w:rsidRPr="003E2D7A" w:rsidRDefault="00B855CF" w:rsidP="00543A2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442900</w:t>
            </w:r>
          </w:p>
        </w:tc>
      </w:tr>
    </w:tbl>
    <w:p w:rsidR="00B855CF" w:rsidRDefault="00B855CF" w:rsidP="00942CF3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775198" w:rsidRDefault="00775198" w:rsidP="00942CF3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775198" w:rsidRDefault="00775198" w:rsidP="00942CF3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775198" w:rsidRDefault="00775198" w:rsidP="00942CF3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775198" w:rsidRDefault="00775198" w:rsidP="00942CF3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775198" w:rsidRDefault="00775198" w:rsidP="007751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Начальник управління </w:t>
      </w:r>
    </w:p>
    <w:p w:rsidR="00775198" w:rsidRDefault="00775198" w:rsidP="007751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житлово-комунального господарства</w:t>
      </w:r>
    </w:p>
    <w:p w:rsidR="00775198" w:rsidRPr="00942CF3" w:rsidRDefault="00775198" w:rsidP="007751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  <w:t>Віталій САХАНЬ</w:t>
      </w:r>
    </w:p>
    <w:p w:rsidR="00993A20" w:rsidRDefault="00993A20">
      <w:pP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993A20" w:rsidRPr="00993A20" w:rsidRDefault="00993A20" w:rsidP="00993A2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Начальник відділу планування</w:t>
      </w:r>
    </w:p>
    <w:p w:rsidR="00993A20" w:rsidRPr="00993A20" w:rsidRDefault="00993A20" w:rsidP="00993A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та економічного аналізу </w:t>
      </w: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управління </w:t>
      </w:r>
    </w:p>
    <w:p w:rsidR="00993A20" w:rsidRPr="00993A20" w:rsidRDefault="00993A20" w:rsidP="00993A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житлово-комунального господарства</w:t>
      </w:r>
    </w:p>
    <w:p w:rsidR="00993A20" w:rsidRDefault="00993A20" w:rsidP="00993A20">
      <w:pPr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  <w:t>Олена ЄРЬОМЕНКО</w:t>
      </w:r>
    </w:p>
    <w:p w:rsidR="00993A20" w:rsidRDefault="00993A20">
      <w:pP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993A20" w:rsidRDefault="00993A20">
      <w:pP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</w:p>
    <w:p w:rsidR="00775198" w:rsidRDefault="00775198">
      <w:pP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  <w:br w:type="page"/>
      </w:r>
    </w:p>
    <w:p w:rsidR="00CF505D" w:rsidRDefault="00CF505D" w:rsidP="00CF505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  <w:proofErr w:type="spellEnd"/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CF505D" w:rsidRDefault="00CF505D" w:rsidP="00CF505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Методики </w:t>
      </w:r>
      <w:proofErr w:type="spellStart"/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</w:p>
    <w:p w:rsidR="00CF505D" w:rsidRDefault="00CF505D" w:rsidP="00CF505D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регуляторного акта</w:t>
      </w:r>
    </w:p>
    <w:p w:rsidR="00543A2A" w:rsidRDefault="00543A2A" w:rsidP="00543A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505D" w:rsidRDefault="00CF505D" w:rsidP="00543A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БЮДЖЕТНІ ВИТРАТИ</w:t>
      </w:r>
      <w:r w:rsidRPr="008F4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адміністрування</w:t>
      </w:r>
      <w:proofErr w:type="spellEnd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регулювання</w:t>
      </w:r>
      <w:proofErr w:type="spellEnd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суб’єктів</w:t>
      </w:r>
      <w:proofErr w:type="spellEnd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великого і </w:t>
      </w:r>
      <w:proofErr w:type="spellStart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середнього</w:t>
      </w:r>
      <w:proofErr w:type="spellEnd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підприємництва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505D" w:rsidRDefault="00CF505D" w:rsidP="00543A2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проєкту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 розпорядження керівника Лисичанської міської військово-цивільної адміністрації </w:t>
      </w:r>
      <w:proofErr w:type="spellStart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Сєвєродонецького</w:t>
      </w:r>
      <w:proofErr w:type="spellEnd"/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 району Луганської області</w:t>
      </w:r>
    </w:p>
    <w:p w:rsidR="00CF505D" w:rsidRPr="008F4494" w:rsidRDefault="00CF505D" w:rsidP="00543A2A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B9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«Про затвердження Методики розрахунку компенсації за надання  послуг, що становлять загальний економічний інтерес – перевезення пасажирів міським пасажирським транспортом загального користування»</w:t>
      </w:r>
    </w:p>
    <w:p w:rsidR="00543A2A" w:rsidRDefault="00543A2A" w:rsidP="00543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191"/>
      <w:bookmarkStart w:id="1" w:name="n192"/>
      <w:bookmarkEnd w:id="0"/>
      <w:bookmarkEnd w:id="1"/>
    </w:p>
    <w:p w:rsidR="00CF505D" w:rsidRDefault="00CF505D" w:rsidP="00543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адміністрування</w:t>
      </w:r>
      <w:proofErr w:type="spellEnd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регулювання</w:t>
      </w:r>
      <w:proofErr w:type="spellEnd"/>
      <w:r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Лисичанської</w:t>
      </w:r>
      <w:proofErr w:type="spellEnd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військово-цивільної</w:t>
      </w:r>
      <w:proofErr w:type="spellEnd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</w:p>
    <w:p w:rsidR="00543A2A" w:rsidRDefault="00543A2A" w:rsidP="00543A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60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645"/>
        <w:gridCol w:w="1451"/>
        <w:gridCol w:w="1550"/>
        <w:gridCol w:w="1417"/>
      </w:tblGrid>
      <w:tr w:rsidR="00D219B1" w:rsidTr="00D219B1">
        <w:tc>
          <w:tcPr>
            <w:tcW w:w="2263" w:type="dxa"/>
          </w:tcPr>
          <w:p w:rsidR="00D219B1" w:rsidRPr="00D219B1" w:rsidRDefault="00D219B1" w:rsidP="00D219B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Процедура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суб’єктів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великого і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середнього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підприємництва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розрахунок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одного типового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господарювання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D219B1" w:rsidRPr="00D219B1" w:rsidRDefault="00D219B1" w:rsidP="00D219B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Планові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</w:t>
            </w:r>
            <w:proofErr w:type="spellEnd"/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часу на процедуру</w:t>
            </w:r>
          </w:p>
        </w:tc>
        <w:tc>
          <w:tcPr>
            <w:tcW w:w="1645" w:type="dxa"/>
          </w:tcPr>
          <w:p w:rsidR="00D219B1" w:rsidRPr="00D219B1" w:rsidRDefault="00D219B1" w:rsidP="00D219B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Вартість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часу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співробітника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органу</w:t>
            </w: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державної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відповідної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категорії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заробітна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плата)</w:t>
            </w:r>
          </w:p>
        </w:tc>
        <w:tc>
          <w:tcPr>
            <w:tcW w:w="1451" w:type="dxa"/>
          </w:tcPr>
          <w:p w:rsidR="00D219B1" w:rsidRPr="00D219B1" w:rsidRDefault="00D219B1" w:rsidP="00D219B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кількості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процедур за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рік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припадають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одного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суб’єкта</w:t>
            </w:r>
            <w:proofErr w:type="spellEnd"/>
          </w:p>
        </w:tc>
        <w:tc>
          <w:tcPr>
            <w:tcW w:w="1550" w:type="dxa"/>
          </w:tcPr>
          <w:p w:rsidR="00D219B1" w:rsidRPr="00D219B1" w:rsidRDefault="00D219B1" w:rsidP="00D219B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Оцінка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кількост</w:t>
            </w:r>
            <w:proofErr w:type="spellEnd"/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суб’єктів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підпадають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дію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1417" w:type="dxa"/>
          </w:tcPr>
          <w:p w:rsidR="00D219B1" w:rsidRPr="00D219B1" w:rsidRDefault="00D219B1" w:rsidP="00D219B1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Витрати</w:t>
            </w:r>
            <w:proofErr w:type="spellEnd"/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адміністрування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* (за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рік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гривень</w:t>
            </w:r>
            <w:proofErr w:type="spellEnd"/>
          </w:p>
        </w:tc>
      </w:tr>
      <w:tr w:rsidR="00543A2A" w:rsidTr="00D219B1">
        <w:tc>
          <w:tcPr>
            <w:tcW w:w="2263" w:type="dxa"/>
          </w:tcPr>
          <w:p w:rsidR="00543A2A" w:rsidRPr="00543A2A" w:rsidRDefault="00543A2A" w:rsidP="00543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43A2A" w:rsidRPr="00543A2A" w:rsidRDefault="00543A2A" w:rsidP="00543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45" w:type="dxa"/>
          </w:tcPr>
          <w:p w:rsidR="00543A2A" w:rsidRPr="00543A2A" w:rsidRDefault="00543A2A" w:rsidP="00543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51" w:type="dxa"/>
          </w:tcPr>
          <w:p w:rsidR="00543A2A" w:rsidRPr="00543A2A" w:rsidRDefault="00543A2A" w:rsidP="00543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0" w:type="dxa"/>
          </w:tcPr>
          <w:p w:rsidR="00543A2A" w:rsidRPr="00543A2A" w:rsidRDefault="00543A2A" w:rsidP="00543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417" w:type="dxa"/>
          </w:tcPr>
          <w:p w:rsidR="00543A2A" w:rsidRPr="00543A2A" w:rsidRDefault="00543A2A" w:rsidP="00543A2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</w:tr>
      <w:tr w:rsidR="00D219B1" w:rsidRPr="00D219B1" w:rsidTr="00D219B1">
        <w:tc>
          <w:tcPr>
            <w:tcW w:w="2263" w:type="dxa"/>
          </w:tcPr>
          <w:p w:rsidR="00D219B1" w:rsidRDefault="00D219B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Облік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господарювання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перебуває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сфері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</w:p>
          <w:p w:rsidR="00543A2A" w:rsidRPr="00D219B1" w:rsidRDefault="00543A2A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219B1" w:rsidRPr="00D219B1" w:rsidRDefault="00D219B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 годин</w:t>
            </w:r>
          </w:p>
        </w:tc>
        <w:tc>
          <w:tcPr>
            <w:tcW w:w="1645" w:type="dxa"/>
          </w:tcPr>
          <w:p w:rsidR="00D219B1" w:rsidRPr="00D219B1" w:rsidRDefault="00D219B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</w:t>
            </w:r>
          </w:p>
        </w:tc>
        <w:tc>
          <w:tcPr>
            <w:tcW w:w="1451" w:type="dxa"/>
          </w:tcPr>
          <w:p w:rsidR="00D219B1" w:rsidRPr="00D219B1" w:rsidRDefault="00D219B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0" w:type="dxa"/>
          </w:tcPr>
          <w:p w:rsidR="00D219B1" w:rsidRPr="00D219B1" w:rsidRDefault="00D219B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</w:tcPr>
          <w:p w:rsidR="00D219B1" w:rsidRPr="00D219B1" w:rsidRDefault="00D219B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235</w:t>
            </w:r>
          </w:p>
        </w:tc>
      </w:tr>
      <w:tr w:rsidR="00543A2A" w:rsidTr="00781B35">
        <w:tc>
          <w:tcPr>
            <w:tcW w:w="2263" w:type="dxa"/>
          </w:tcPr>
          <w:p w:rsidR="00543A2A" w:rsidRPr="00543A2A" w:rsidRDefault="00543A2A" w:rsidP="00781B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:rsidR="00543A2A" w:rsidRPr="00543A2A" w:rsidRDefault="00543A2A" w:rsidP="00781B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45" w:type="dxa"/>
          </w:tcPr>
          <w:p w:rsidR="00543A2A" w:rsidRPr="00543A2A" w:rsidRDefault="00543A2A" w:rsidP="00781B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51" w:type="dxa"/>
          </w:tcPr>
          <w:p w:rsidR="00543A2A" w:rsidRPr="00543A2A" w:rsidRDefault="00543A2A" w:rsidP="00781B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0" w:type="dxa"/>
          </w:tcPr>
          <w:p w:rsidR="00543A2A" w:rsidRPr="00543A2A" w:rsidRDefault="00543A2A" w:rsidP="00781B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417" w:type="dxa"/>
          </w:tcPr>
          <w:p w:rsidR="00543A2A" w:rsidRPr="00543A2A" w:rsidRDefault="00543A2A" w:rsidP="00781B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</w:tr>
      <w:tr w:rsidR="00D219B1" w:rsidRPr="00D219B1" w:rsidTr="00D219B1">
        <w:tc>
          <w:tcPr>
            <w:tcW w:w="2263" w:type="dxa"/>
          </w:tcPr>
          <w:p w:rsidR="00D219B1" w:rsidRPr="00D219B1" w:rsidRDefault="00D219B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Поточний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 за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суб’єктом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господарювання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перебуває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сфері</w:t>
            </w:r>
            <w:proofErr w:type="spellEnd"/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 тому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числі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134" w:type="dxa"/>
          </w:tcPr>
          <w:p w:rsidR="00D219B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45" w:type="dxa"/>
          </w:tcPr>
          <w:p w:rsidR="00D219B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D219B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0" w:type="dxa"/>
          </w:tcPr>
          <w:p w:rsidR="00D219B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D219B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камеральні</w:t>
            </w:r>
            <w:proofErr w:type="spellEnd"/>
          </w:p>
        </w:tc>
        <w:tc>
          <w:tcPr>
            <w:tcW w:w="1134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45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0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виїзні</w:t>
            </w:r>
            <w:proofErr w:type="spellEnd"/>
          </w:p>
        </w:tc>
        <w:tc>
          <w:tcPr>
            <w:tcW w:w="1134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45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0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775198" w:rsidRDefault="00775198"/>
    <w:p w:rsidR="00775198" w:rsidRDefault="00775198"/>
    <w:tbl>
      <w:tblPr>
        <w:tblStyle w:val="a5"/>
        <w:tblW w:w="9460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645"/>
        <w:gridCol w:w="1451"/>
        <w:gridCol w:w="1550"/>
        <w:gridCol w:w="1417"/>
      </w:tblGrid>
      <w:tr w:rsidR="00775198" w:rsidTr="003A3404">
        <w:tc>
          <w:tcPr>
            <w:tcW w:w="2263" w:type="dxa"/>
          </w:tcPr>
          <w:p w:rsidR="00775198" w:rsidRPr="00543A2A" w:rsidRDefault="00775198" w:rsidP="003A3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775198" w:rsidRPr="00543A2A" w:rsidRDefault="00775198" w:rsidP="003A3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645" w:type="dxa"/>
          </w:tcPr>
          <w:p w:rsidR="00775198" w:rsidRPr="00543A2A" w:rsidRDefault="00775198" w:rsidP="003A3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51" w:type="dxa"/>
          </w:tcPr>
          <w:p w:rsidR="00775198" w:rsidRPr="00543A2A" w:rsidRDefault="00775198" w:rsidP="003A3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550" w:type="dxa"/>
          </w:tcPr>
          <w:p w:rsidR="00775198" w:rsidRPr="00543A2A" w:rsidRDefault="00775198" w:rsidP="003A3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417" w:type="dxa"/>
          </w:tcPr>
          <w:p w:rsidR="00775198" w:rsidRPr="00543A2A" w:rsidRDefault="00775198" w:rsidP="003A34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Підготовка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затвердження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опрацювання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одного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окремого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акта про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порушення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1134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45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0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Реалізація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одного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окремого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щодо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порушення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вимог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1134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45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0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Оскарження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одного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окремого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рішення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суб’єктами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1134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45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0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Підготовка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звітності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результатами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регулювання</w:t>
            </w:r>
            <w:proofErr w:type="spellEnd"/>
          </w:p>
        </w:tc>
        <w:tc>
          <w:tcPr>
            <w:tcW w:w="1134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45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550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637801" w:rsidRPr="0063780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адміністративні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процедури</w:t>
            </w:r>
            <w:proofErr w:type="spellEnd"/>
          </w:p>
        </w:tc>
        <w:tc>
          <w:tcPr>
            <w:tcW w:w="1134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годин</w:t>
            </w:r>
          </w:p>
        </w:tc>
        <w:tc>
          <w:tcPr>
            <w:tcW w:w="1645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</w:t>
            </w:r>
          </w:p>
        </w:tc>
        <w:tc>
          <w:tcPr>
            <w:tcW w:w="1451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0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11059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63780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7.1 Перевірка документів наданих суб’єктами господарювання на виконання регуляторного акту</w:t>
            </w:r>
          </w:p>
        </w:tc>
        <w:tc>
          <w:tcPr>
            <w:tcW w:w="1134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годин</w:t>
            </w:r>
          </w:p>
        </w:tc>
        <w:tc>
          <w:tcPr>
            <w:tcW w:w="1645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</w:t>
            </w:r>
          </w:p>
        </w:tc>
        <w:tc>
          <w:tcPr>
            <w:tcW w:w="1451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0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11059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Разом за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рік</w:t>
            </w:r>
            <w:proofErr w:type="spellEnd"/>
          </w:p>
        </w:tc>
        <w:tc>
          <w:tcPr>
            <w:tcW w:w="1134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45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51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50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7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11294</w:t>
            </w:r>
          </w:p>
        </w:tc>
      </w:tr>
      <w:tr w:rsidR="00637801" w:rsidRPr="00D219B1" w:rsidTr="00D219B1">
        <w:tc>
          <w:tcPr>
            <w:tcW w:w="2263" w:type="dxa"/>
          </w:tcPr>
          <w:p w:rsidR="00637801" w:rsidRPr="00D219B1" w:rsidRDefault="00637801" w:rsidP="006378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Сумарно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п’ять</w:t>
            </w:r>
            <w:proofErr w:type="spellEnd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років</w:t>
            </w:r>
            <w:proofErr w:type="spellEnd"/>
          </w:p>
        </w:tc>
        <w:tc>
          <w:tcPr>
            <w:tcW w:w="1134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45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51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50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7" w:type="dxa"/>
          </w:tcPr>
          <w:p w:rsidR="00637801" w:rsidRPr="00D219B1" w:rsidRDefault="00637801" w:rsidP="0063780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56470</w:t>
            </w:r>
          </w:p>
        </w:tc>
      </w:tr>
    </w:tbl>
    <w:p w:rsidR="00CF505D" w:rsidRDefault="00D219B1" w:rsidP="00637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7801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адмініструванням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державними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органами,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множення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фактичних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часу персоналу на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плату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спеціаліста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підпадають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, та на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 xml:space="preserve"> процедур за </w:t>
      </w:r>
      <w:proofErr w:type="spellStart"/>
      <w:r w:rsidRPr="00637801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637801">
        <w:rPr>
          <w:rFonts w:ascii="Times New Roman" w:hAnsi="Times New Roman" w:cs="Times New Roman"/>
          <w:sz w:val="24"/>
          <w:szCs w:val="24"/>
        </w:rPr>
        <w:t>.</w:t>
      </w:r>
    </w:p>
    <w:p w:rsidR="00637801" w:rsidRDefault="00637801" w:rsidP="00637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01" w:rsidRDefault="00637801" w:rsidP="006378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Начальник управління </w:t>
      </w:r>
    </w:p>
    <w:p w:rsidR="00637801" w:rsidRDefault="00637801" w:rsidP="006378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житлово-комунального господарства</w:t>
      </w:r>
    </w:p>
    <w:p w:rsidR="00637801" w:rsidRPr="00942CF3" w:rsidRDefault="00637801" w:rsidP="0063780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  <w:t>Віталій САХАНЬ</w:t>
      </w:r>
    </w:p>
    <w:p w:rsidR="00637801" w:rsidRDefault="00637801" w:rsidP="00637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3A20" w:rsidRPr="00993A20" w:rsidRDefault="00993A20" w:rsidP="00993A20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Начальник відділу планування</w:t>
      </w:r>
    </w:p>
    <w:p w:rsidR="00993A20" w:rsidRPr="00993A20" w:rsidRDefault="00993A20" w:rsidP="00993A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 xml:space="preserve">та економічного аналізу управління </w:t>
      </w:r>
    </w:p>
    <w:p w:rsidR="00993A20" w:rsidRPr="00993A20" w:rsidRDefault="00993A20" w:rsidP="00993A2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житлово-комунального господарства</w:t>
      </w:r>
    </w:p>
    <w:p w:rsidR="00993A20" w:rsidRPr="00637801" w:rsidRDefault="00993A20" w:rsidP="00993A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3A2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>Лисичанської міської ВЦА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 w:eastAsia="ru-RU"/>
        </w:rPr>
        <w:tab/>
        <w:t>Олена ЄРЬОМЕНКО</w:t>
      </w:r>
      <w:bookmarkStart w:id="2" w:name="_GoBack"/>
      <w:bookmarkEnd w:id="2"/>
    </w:p>
    <w:sectPr w:rsidR="00993A20" w:rsidRPr="00637801" w:rsidSect="00775198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FB" w:rsidRDefault="00BD6FFB" w:rsidP="00543A2A">
      <w:pPr>
        <w:spacing w:after="0" w:line="240" w:lineRule="auto"/>
      </w:pPr>
      <w:r>
        <w:separator/>
      </w:r>
    </w:p>
  </w:endnote>
  <w:endnote w:type="continuationSeparator" w:id="0">
    <w:p w:rsidR="00BD6FFB" w:rsidRDefault="00BD6FFB" w:rsidP="0054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FB" w:rsidRDefault="00BD6FFB" w:rsidP="00543A2A">
      <w:pPr>
        <w:spacing w:after="0" w:line="240" w:lineRule="auto"/>
      </w:pPr>
      <w:r>
        <w:separator/>
      </w:r>
    </w:p>
  </w:footnote>
  <w:footnote w:type="continuationSeparator" w:id="0">
    <w:p w:rsidR="00BD6FFB" w:rsidRDefault="00BD6FFB" w:rsidP="0054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86351"/>
      <w:docPartObj>
        <w:docPartGallery w:val="Page Numbers (Top of Page)"/>
        <w:docPartUnique/>
      </w:docPartObj>
    </w:sdtPr>
    <w:sdtEndPr/>
    <w:sdtContent>
      <w:p w:rsidR="00543A2A" w:rsidRDefault="00543A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A20">
          <w:rPr>
            <w:noProof/>
          </w:rPr>
          <w:t>12</w:t>
        </w:r>
        <w:r>
          <w:fldChar w:fldCharType="end"/>
        </w:r>
      </w:p>
    </w:sdtContent>
  </w:sdt>
  <w:p w:rsidR="00543A2A" w:rsidRDefault="00543A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EBC"/>
    <w:multiLevelType w:val="multilevel"/>
    <w:tmpl w:val="3EB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46DA"/>
    <w:multiLevelType w:val="multilevel"/>
    <w:tmpl w:val="990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50D"/>
    <w:multiLevelType w:val="hybridMultilevel"/>
    <w:tmpl w:val="B8B218CA"/>
    <w:lvl w:ilvl="0" w:tplc="06D8F69E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59E25AB"/>
    <w:multiLevelType w:val="multilevel"/>
    <w:tmpl w:val="A24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02E20"/>
    <w:multiLevelType w:val="multilevel"/>
    <w:tmpl w:val="669E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F4E94"/>
    <w:multiLevelType w:val="hybridMultilevel"/>
    <w:tmpl w:val="0100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8D"/>
    <w:rsid w:val="0002060C"/>
    <w:rsid w:val="000F3789"/>
    <w:rsid w:val="001B1238"/>
    <w:rsid w:val="001D57D0"/>
    <w:rsid w:val="00223901"/>
    <w:rsid w:val="00241B35"/>
    <w:rsid w:val="002450B2"/>
    <w:rsid w:val="00266534"/>
    <w:rsid w:val="00295043"/>
    <w:rsid w:val="003C54BB"/>
    <w:rsid w:val="003C768D"/>
    <w:rsid w:val="00524551"/>
    <w:rsid w:val="00543A2A"/>
    <w:rsid w:val="0058309F"/>
    <w:rsid w:val="005E26F1"/>
    <w:rsid w:val="00603908"/>
    <w:rsid w:val="006369CD"/>
    <w:rsid w:val="00637801"/>
    <w:rsid w:val="00664FE4"/>
    <w:rsid w:val="00722DEE"/>
    <w:rsid w:val="00775198"/>
    <w:rsid w:val="007E5E5E"/>
    <w:rsid w:val="00807C2E"/>
    <w:rsid w:val="0089787B"/>
    <w:rsid w:val="008D27AC"/>
    <w:rsid w:val="00914C8A"/>
    <w:rsid w:val="00942CF3"/>
    <w:rsid w:val="00991B7F"/>
    <w:rsid w:val="00993A20"/>
    <w:rsid w:val="009A1B98"/>
    <w:rsid w:val="00A03F47"/>
    <w:rsid w:val="00A212BE"/>
    <w:rsid w:val="00B11E90"/>
    <w:rsid w:val="00B447B8"/>
    <w:rsid w:val="00B855CF"/>
    <w:rsid w:val="00B85654"/>
    <w:rsid w:val="00BD6FFB"/>
    <w:rsid w:val="00BF1217"/>
    <w:rsid w:val="00CB4573"/>
    <w:rsid w:val="00CF505D"/>
    <w:rsid w:val="00D219B1"/>
    <w:rsid w:val="00E52D33"/>
    <w:rsid w:val="00E77C79"/>
    <w:rsid w:val="00EE083F"/>
    <w:rsid w:val="00F52C4C"/>
    <w:rsid w:val="00F61CB8"/>
    <w:rsid w:val="00F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420E"/>
  <w15:chartTrackingRefBased/>
  <w15:docId w15:val="{34C5522C-8722-4E9E-B057-B0DA7C54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76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76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76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76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68D"/>
    <w:rPr>
      <w:b/>
      <w:bCs/>
    </w:rPr>
  </w:style>
  <w:style w:type="table" w:styleId="a5">
    <w:name w:val="Table Grid"/>
    <w:basedOn w:val="a1"/>
    <w:uiPriority w:val="39"/>
    <w:rsid w:val="009A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2DEE"/>
    <w:pPr>
      <w:ind w:left="720"/>
      <w:contextualSpacing/>
    </w:pPr>
  </w:style>
  <w:style w:type="paragraph" w:customStyle="1" w:styleId="Standard">
    <w:name w:val="Standard"/>
    <w:rsid w:val="00B855CF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val="en-US" w:eastAsia="zh-CN" w:bidi="hi-IN"/>
    </w:rPr>
  </w:style>
  <w:style w:type="paragraph" w:customStyle="1" w:styleId="Textbody">
    <w:name w:val="Text body"/>
    <w:basedOn w:val="Standard"/>
    <w:rsid w:val="00B855CF"/>
    <w:pPr>
      <w:spacing w:after="140" w:line="288" w:lineRule="auto"/>
    </w:pPr>
  </w:style>
  <w:style w:type="paragraph" w:customStyle="1" w:styleId="TableContents">
    <w:name w:val="Table Contents"/>
    <w:basedOn w:val="Standard"/>
    <w:rsid w:val="00B855CF"/>
  </w:style>
  <w:style w:type="paragraph" w:styleId="a7">
    <w:name w:val="header"/>
    <w:basedOn w:val="a"/>
    <w:link w:val="a8"/>
    <w:uiPriority w:val="99"/>
    <w:unhideWhenUsed/>
    <w:rsid w:val="0054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A2A"/>
  </w:style>
  <w:style w:type="paragraph" w:styleId="a9">
    <w:name w:val="footer"/>
    <w:basedOn w:val="a"/>
    <w:link w:val="aa"/>
    <w:uiPriority w:val="99"/>
    <w:unhideWhenUsed/>
    <w:rsid w:val="00543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A2A"/>
  </w:style>
  <w:style w:type="paragraph" w:styleId="ab">
    <w:name w:val="Balloon Text"/>
    <w:basedOn w:val="a"/>
    <w:link w:val="ac"/>
    <w:uiPriority w:val="99"/>
    <w:semiHidden/>
    <w:unhideWhenUsed/>
    <w:rsid w:val="0077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5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9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2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3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1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6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5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12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2021-03-30T08:11:00Z</cp:lastPrinted>
  <dcterms:created xsi:type="dcterms:W3CDTF">2021-03-22T13:52:00Z</dcterms:created>
  <dcterms:modified xsi:type="dcterms:W3CDTF">2021-03-30T09:59:00Z</dcterms:modified>
</cp:coreProperties>
</file>