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0454C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A43832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4B02E6" w:rsidRDefault="00A43832" w:rsidP="00A43832">
      <w:pPr>
        <w:pStyle w:val="af2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30BBE" w:rsidRPr="004B02E6" w:rsidRDefault="00B30BBE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4B02E6" w:rsidRDefault="00185704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4B02E6">
        <w:rPr>
          <w:rFonts w:ascii="Times New Roman" w:hAnsi="Times New Roman"/>
          <w:sz w:val="28"/>
          <w:szCs w:val="28"/>
          <w:lang w:val="uk-UA"/>
        </w:rPr>
        <w:t>13.05.2021</w:t>
      </w:r>
      <w:r w:rsidRPr="004B02E6">
        <w:rPr>
          <w:rFonts w:ascii="Times New Roman" w:hAnsi="Times New Roman"/>
          <w:sz w:val="28"/>
          <w:szCs w:val="28"/>
          <w:lang w:val="uk-UA"/>
        </w:rPr>
        <w:tab/>
      </w:r>
      <w:r w:rsidRPr="004B02E6">
        <w:rPr>
          <w:rFonts w:ascii="Times New Roman" w:hAnsi="Times New Roman"/>
          <w:sz w:val="28"/>
          <w:szCs w:val="28"/>
          <w:lang w:val="uk-UA"/>
        </w:rPr>
        <w:tab/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2E6">
        <w:rPr>
          <w:rFonts w:ascii="Times New Roman" w:hAnsi="Times New Roman"/>
          <w:sz w:val="28"/>
          <w:szCs w:val="28"/>
          <w:lang w:val="uk-UA"/>
        </w:rPr>
        <w:t>363</w:t>
      </w:r>
    </w:p>
    <w:p w:rsidR="008C5AA2" w:rsidRPr="00B55CCD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E72D52">
        <w:rPr>
          <w:rFonts w:ascii="Times New Roman" w:hAnsi="Times New Roman"/>
          <w:b/>
          <w:sz w:val="28"/>
          <w:szCs w:val="28"/>
          <w:lang w:val="uk-UA"/>
        </w:rPr>
        <w:t>від 14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0</w:t>
      </w:r>
      <w:r w:rsidR="009B7F44">
        <w:rPr>
          <w:rFonts w:ascii="Times New Roman" w:hAnsi="Times New Roman"/>
          <w:b/>
          <w:sz w:val="28"/>
          <w:szCs w:val="28"/>
          <w:lang w:val="uk-UA"/>
        </w:rPr>
        <w:t>4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E72D52">
        <w:rPr>
          <w:rFonts w:ascii="Times New Roman" w:hAnsi="Times New Roman"/>
          <w:b/>
          <w:sz w:val="28"/>
          <w:szCs w:val="28"/>
          <w:lang w:val="uk-UA"/>
        </w:rPr>
        <w:t>186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940FDF" w:rsidRPr="00940FD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 «Лисичанська багатопрофільна лікарня» на 2021 рік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A0454C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>
        <w:rPr>
          <w:rFonts w:ascii="Times New Roman" w:hAnsi="Times New Roman"/>
          <w:sz w:val="28"/>
          <w:szCs w:val="28"/>
          <w:lang w:val="uk-UA"/>
        </w:rPr>
        <w:t>№</w:t>
      </w:r>
      <w:r w:rsidR="00940FDF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>
        <w:rPr>
          <w:rFonts w:ascii="Times New Roman" w:hAnsi="Times New Roman"/>
          <w:sz w:val="28"/>
          <w:szCs w:val="28"/>
          <w:lang w:val="uk-UA"/>
        </w:rPr>
        <w:t>постановою КМУ «</w:t>
      </w:r>
      <w:r w:rsidR="00950F20" w:rsidRPr="00950F20">
        <w:rPr>
          <w:rFonts w:ascii="Times New Roman" w:hAnsi="Times New Roman"/>
          <w:sz w:val="28"/>
          <w:szCs w:val="28"/>
          <w:lang w:val="uk-UA"/>
        </w:rPr>
        <w:t>Деякі питання оплати праці медичних та інших працівників закладів охорони здоров’я</w:t>
      </w:r>
      <w:r w:rsidR="00950F20">
        <w:rPr>
          <w:rFonts w:ascii="Times New Roman" w:hAnsi="Times New Roman"/>
          <w:sz w:val="28"/>
          <w:szCs w:val="28"/>
          <w:lang w:val="uk-UA"/>
        </w:rPr>
        <w:t>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044230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3A9" w:rsidRPr="00044230">
        <w:rPr>
          <w:rFonts w:ascii="Times New Roman" w:hAnsi="Times New Roman"/>
          <w:sz w:val="28"/>
          <w:szCs w:val="28"/>
          <w:lang w:val="uk-UA"/>
        </w:rPr>
        <w:t>від 30.11.2016 №1013-р</w:t>
      </w:r>
      <w:r w:rsidR="00175712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A0454C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3E33A9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E72D52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 покласти на начальника відділу охорони здоров’я Лисичанської міської </w:t>
      </w:r>
      <w:r w:rsidR="00E601B6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E601B6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E601B6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E601B6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 Ігоря БОНДАРЕНКА.</w:t>
      </w:r>
    </w:p>
    <w:p w:rsidR="00A43832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3E33A9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044230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044230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707406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07406" w:rsidRPr="00707406">
        <w:rPr>
          <w:rFonts w:ascii="Times New Roman" w:hAnsi="Times New Roman"/>
          <w:sz w:val="26"/>
          <w:szCs w:val="26"/>
          <w:lang w:val="uk-UA"/>
        </w:rPr>
        <w:t>13.05.</w:t>
      </w:r>
      <w:r w:rsidR="00707406" w:rsidRPr="004B02E6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07406" w:rsidRPr="00707406">
        <w:rPr>
          <w:rFonts w:ascii="Times New Roman" w:hAnsi="Times New Roman"/>
          <w:sz w:val="26"/>
          <w:szCs w:val="26"/>
          <w:lang w:val="uk-UA"/>
        </w:rPr>
        <w:t>363</w:t>
      </w:r>
    </w:p>
    <w:p w:rsidR="00FD2C7A" w:rsidRPr="0004423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04423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4B02E6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4B02E6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, постанова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«Деякі питання оплати праці медичних та інших працівників закладів охорони здоров’я»,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4B02E6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C301C" w:rsidRDefault="00F93102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310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 978 </w:t>
            </w:r>
            <w:r w:rsidRPr="00F93102">
              <w:rPr>
                <w:rFonts w:ascii="Times New Roman" w:hAnsi="Times New Roman"/>
                <w:sz w:val="26"/>
                <w:szCs w:val="26"/>
                <w:lang w:val="uk-UA"/>
              </w:rPr>
              <w:t>434</w:t>
            </w:r>
          </w:p>
        </w:tc>
      </w:tr>
    </w:tbl>
    <w:p w:rsidR="00A54BD0" w:rsidRPr="00185704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044230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</w:p>
    <w:p w:rsidR="00B52BC2" w:rsidRPr="004B02E6" w:rsidRDefault="00B52BC2" w:rsidP="00185704">
      <w:pPr>
        <w:ind w:left="6372" w:firstLine="708"/>
        <w:jc w:val="both"/>
        <w:rPr>
          <w:color w:val="808080" w:themeColor="background1" w:themeShade="80"/>
          <w:sz w:val="24"/>
        </w:rPr>
      </w:pPr>
      <w:r w:rsidRPr="00185704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044230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950F20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185704" w:rsidRDefault="00A54BD0" w:rsidP="00185704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4B02E6" w:rsidRDefault="004B02E6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en-US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950F20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4B02E6" w:rsidRPr="004B02E6" w:rsidRDefault="004B02E6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02E6" w:rsidRDefault="004B02E6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4B02E6" w:rsidRPr="00B52BC2" w:rsidRDefault="004B02E6" w:rsidP="004B02E6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4B02E6" w:rsidRDefault="004B02E6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52BC2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 w:rsidRPr="00044230">
        <w:rPr>
          <w:rFonts w:ascii="Times New Roman" w:hAnsi="Times New Roman"/>
          <w:sz w:val="26"/>
          <w:szCs w:val="26"/>
          <w:lang w:val="uk-UA"/>
        </w:rPr>
        <w:t xml:space="preserve"> роботи серед населення щодо формування здорового способу життя;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4B02E6" w:rsidRDefault="004B02E6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4B02E6" w:rsidRPr="00B52BC2" w:rsidRDefault="004B02E6" w:rsidP="004B02E6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B02E6" w:rsidRPr="004B02E6" w:rsidRDefault="004B02E6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044230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4B02E6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матеріальне</w:t>
      </w:r>
      <w:r w:rsidRPr="00DA1777">
        <w:rPr>
          <w:rFonts w:ascii="Times New Roman" w:hAnsi="Times New Roman"/>
          <w:sz w:val="26"/>
          <w:szCs w:val="26"/>
          <w:lang w:val="uk-UA"/>
        </w:rPr>
        <w:t xml:space="preserve"> стимулювання медичних та інших працівників;</w:t>
      </w:r>
    </w:p>
    <w:p w:rsidR="00A752F2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044230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B52BC2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4B02E6" w:rsidRDefault="004B02E6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4B02E6" w:rsidRPr="00B52BC2" w:rsidRDefault="004B02E6" w:rsidP="004B02E6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4B02E6" w:rsidRPr="004B02E6" w:rsidRDefault="004B02E6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B52BC2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</w:p>
    <w:p w:rsidR="00A752F2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E04FF8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A51D6E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185704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044230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відділ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5D08B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5D08B1">
        <w:rPr>
          <w:rFonts w:ascii="Times New Roman" w:hAnsi="Times New Roman"/>
          <w:sz w:val="26"/>
          <w:szCs w:val="26"/>
          <w:lang w:val="uk-UA"/>
        </w:rPr>
        <w:t>.</w:t>
      </w:r>
    </w:p>
    <w:p w:rsidR="00A54BD0" w:rsidRPr="00044230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Відділ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185704" w:rsidRDefault="00A54BD0" w:rsidP="00185704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6A49C7" w:rsidRDefault="006A49C7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6A49C7" w:rsidRDefault="006A49C7" w:rsidP="00185704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6A49C7" w:rsidRDefault="006A49C7" w:rsidP="006A49C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6A49C7" w:rsidRDefault="006A49C7" w:rsidP="00185704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52BC2" w:rsidRPr="00185704" w:rsidRDefault="00A54BD0" w:rsidP="00185704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Лисичанської</w:t>
      </w:r>
    </w:p>
    <w:p w:rsidR="00A54BD0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044230" w:rsidRDefault="00D4313E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6A49C7" w:rsidRPr="006A49C7" w:rsidRDefault="006A49C7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</w:p>
    <w:tbl>
      <w:tblPr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65"/>
        <w:gridCol w:w="1406"/>
        <w:gridCol w:w="7"/>
        <w:gridCol w:w="2272"/>
        <w:gridCol w:w="1560"/>
      </w:tblGrid>
      <w:tr w:rsidR="00044230" w:rsidRPr="00F268FA" w:rsidTr="006A49C7">
        <w:trPr>
          <w:trHeight w:val="9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F268FA" w:rsidTr="006A49C7">
        <w:trPr>
          <w:trHeight w:val="108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F268FA" w:rsidRDefault="00044230" w:rsidP="00A9502F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F268FA" w:rsidRDefault="00044230" w:rsidP="00A9502F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F268FA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1 000,000</w:t>
            </w:r>
          </w:p>
        </w:tc>
      </w:tr>
      <w:tr w:rsidR="00B52BC2" w:rsidRPr="00F268FA" w:rsidTr="006A49C7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F268FA" w:rsidRDefault="00B52BC2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C5067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A9502F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A9502F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A9502F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12 808,875</w:t>
            </w:r>
          </w:p>
        </w:tc>
      </w:tr>
      <w:tr w:rsidR="00B52BC2" w:rsidRPr="00F268FA" w:rsidTr="006A49C7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F268FA" w:rsidRDefault="00B52BC2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2357CC">
            <w:pPr>
              <w:pStyle w:val="af2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F268FA" w:rsidTr="006A49C7">
        <w:trPr>
          <w:trHeight w:val="25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F268FA" w:rsidRDefault="00B52BC2" w:rsidP="002357CC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C5067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2357C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8 035,001</w:t>
            </w:r>
          </w:p>
        </w:tc>
      </w:tr>
      <w:tr w:rsidR="00B52BC2" w:rsidRPr="00F268FA" w:rsidTr="006A49C7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F268FA" w:rsidRDefault="00B52BC2" w:rsidP="002357CC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C5067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2357C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600,580</w:t>
            </w:r>
          </w:p>
        </w:tc>
      </w:tr>
      <w:tr w:rsidR="00B52BC2" w:rsidRPr="00F268FA" w:rsidTr="006A49C7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F268FA" w:rsidRDefault="00B52BC2" w:rsidP="00586A8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3 913,809</w:t>
            </w:r>
          </w:p>
        </w:tc>
      </w:tr>
      <w:tr w:rsidR="00B52BC2" w:rsidRPr="00F268FA" w:rsidTr="006A49C7">
        <w:trPr>
          <w:trHeight w:val="16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C5067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35,179</w:t>
            </w:r>
          </w:p>
        </w:tc>
      </w:tr>
      <w:tr w:rsidR="00B52BC2" w:rsidRPr="00F268FA" w:rsidTr="006A49C7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C5067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F268FA" w:rsidRDefault="00B52BC2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224,306</w:t>
            </w:r>
          </w:p>
        </w:tc>
      </w:tr>
      <w:tr w:rsidR="004C00A9" w:rsidRPr="00F268FA" w:rsidTr="006A49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F268FA" w:rsidRDefault="004C00A9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F268FA" w:rsidRDefault="004C00A9" w:rsidP="00C5067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F268FA" w:rsidRDefault="004C00A9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F268FA" w:rsidRDefault="004C00A9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F268FA" w:rsidRDefault="00E04FF8" w:rsidP="00586A8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F268FA">
              <w:rPr>
                <w:rFonts w:ascii="Times New Roman" w:hAnsi="Times New Roman"/>
                <w:b/>
                <w:lang w:val="en-US"/>
              </w:rPr>
              <w:t>603</w:t>
            </w:r>
            <w:r w:rsidRPr="00F268FA">
              <w:rPr>
                <w:rFonts w:ascii="Times New Roman" w:hAnsi="Times New Roman"/>
                <w:b/>
                <w:lang w:val="uk-UA"/>
              </w:rPr>
              <w:t>,15</w:t>
            </w:r>
            <w:r w:rsidR="00C50679" w:rsidRPr="00F268FA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A51D6E" w:rsidRPr="00F268FA" w:rsidTr="006A49C7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F268FA" w:rsidRDefault="00A51D6E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F268FA" w:rsidRDefault="00433CCD" w:rsidP="00F9310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Реконструкція частини першо</w:t>
            </w:r>
            <w:r w:rsidR="00A51D6E" w:rsidRPr="00F268FA">
              <w:rPr>
                <w:rFonts w:ascii="Times New Roman" w:hAnsi="Times New Roman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>
              <w:rPr>
                <w:rFonts w:ascii="Times New Roman" w:hAnsi="Times New Roman"/>
                <w:lang w:val="uk-UA"/>
              </w:rPr>
              <w:t xml:space="preserve">мального відділення за адресою: </w:t>
            </w:r>
            <w:r w:rsidR="002708FB">
              <w:rPr>
                <w:rFonts w:ascii="Times New Roman" w:hAnsi="Times New Roman"/>
                <w:lang w:val="uk-UA"/>
              </w:rPr>
              <w:t xml:space="preserve">                             </w:t>
            </w:r>
            <w:r w:rsidR="00A51D6E" w:rsidRPr="00F268FA">
              <w:rPr>
                <w:rFonts w:ascii="Times New Roman" w:hAnsi="Times New Roman"/>
                <w:lang w:val="uk-UA"/>
              </w:rPr>
              <w:t>м. Лисичанськ, вул. ім. В. Сосюри, буд. 424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F268FA" w:rsidRDefault="0063523D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F268FA" w:rsidRDefault="0063523D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F268FA" w:rsidRDefault="0063523D" w:rsidP="00586A8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2 972,734</w:t>
            </w:r>
          </w:p>
        </w:tc>
      </w:tr>
      <w:tr w:rsidR="00FE3FE3" w:rsidRPr="00F268FA" w:rsidTr="006A49C7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F268FA" w:rsidRDefault="00FE3FE3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F268FA" w:rsidRDefault="00FE3FE3" w:rsidP="00F268FA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F268FA">
              <w:rPr>
                <w:rFonts w:ascii="Times New Roman" w:hAnsi="Times New Roman"/>
                <w:lang w:val="uk-UA"/>
              </w:rPr>
              <w:t>киснепостачання</w:t>
            </w:r>
            <w:proofErr w:type="spellEnd"/>
            <w:r w:rsidRPr="00F268FA">
              <w:rPr>
                <w:rFonts w:ascii="Times New Roman" w:hAnsi="Times New Roman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F268FA" w:rsidRDefault="00FE3FE3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F268FA" w:rsidRDefault="00FE3FE3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F268FA" w:rsidRDefault="00A96C4F" w:rsidP="00586A8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185,680</w:t>
            </w:r>
          </w:p>
        </w:tc>
      </w:tr>
      <w:tr w:rsidR="009B7F44" w:rsidRPr="00F268FA" w:rsidTr="006A49C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F268FA" w:rsidRDefault="009B7F44" w:rsidP="00BE639E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F268FA" w:rsidRDefault="00D31865" w:rsidP="00F9310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м. Лисичанськ, </w:t>
            </w:r>
            <w:r w:rsidR="002708FB">
              <w:rPr>
                <w:rFonts w:ascii="Times New Roman" w:hAnsi="Times New Roman"/>
                <w:lang w:val="uk-UA"/>
              </w:rPr>
              <w:t xml:space="preserve">              </w:t>
            </w:r>
            <w:r w:rsidRPr="00F268FA">
              <w:rPr>
                <w:rFonts w:ascii="Times New Roman" w:hAnsi="Times New Roman"/>
                <w:lang w:val="uk-UA"/>
              </w:rPr>
              <w:t>вул. В. Сосюри, буд. 424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F268FA" w:rsidRDefault="00D31865" w:rsidP="00586A8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F268FA" w:rsidRDefault="00D31865" w:rsidP="00586A82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F268FA" w:rsidRDefault="00D31865" w:rsidP="00586A8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268FA">
              <w:rPr>
                <w:rFonts w:ascii="Times New Roman" w:hAnsi="Times New Roman"/>
                <w:b/>
                <w:lang w:val="uk-UA"/>
              </w:rPr>
              <w:t>4 153,963</w:t>
            </w:r>
          </w:p>
        </w:tc>
      </w:tr>
      <w:tr w:rsidR="00F268FA" w:rsidRPr="00F268FA" w:rsidTr="006A49C7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F268FA" w:rsidRDefault="00F268FA" w:rsidP="00F268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F268FA" w:rsidRDefault="00F268FA" w:rsidP="00F9310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t xml:space="preserve">Монтаж системи </w:t>
            </w:r>
            <w:proofErr w:type="spellStart"/>
            <w:r w:rsidRPr="00F268FA">
              <w:rPr>
                <w:rFonts w:ascii="Times New Roman" w:hAnsi="Times New Roman"/>
                <w:lang w:val="uk-UA"/>
              </w:rPr>
              <w:t>киснепостачання</w:t>
            </w:r>
            <w:proofErr w:type="spellEnd"/>
            <w:r w:rsidRPr="00F268FA">
              <w:rPr>
                <w:rFonts w:ascii="Times New Roman" w:hAnsi="Times New Roman"/>
                <w:lang w:val="uk-UA"/>
              </w:rPr>
              <w:t xml:space="preserve"> (ремонт кисневої рампи) хірургічного</w:t>
            </w:r>
            <w:r w:rsidR="00F93102">
              <w:rPr>
                <w:rFonts w:ascii="Times New Roman" w:hAnsi="Times New Roman"/>
                <w:lang w:val="uk-UA"/>
              </w:rPr>
              <w:t xml:space="preserve"> корпусу </w:t>
            </w:r>
            <w:r w:rsidR="00F93102" w:rsidRPr="00F268FA">
              <w:rPr>
                <w:rFonts w:ascii="Times New Roman" w:hAnsi="Times New Roman"/>
                <w:lang w:val="uk-UA"/>
              </w:rPr>
              <w:t xml:space="preserve">КНП «Лисичанська багатопрофільна лікарня», </w:t>
            </w:r>
            <w:r w:rsidR="00F93102" w:rsidRPr="00F268FA">
              <w:rPr>
                <w:rFonts w:ascii="Times New Roman" w:hAnsi="Times New Roman"/>
                <w:lang w:val="uk-UA"/>
              </w:rPr>
              <w:lastRenderedPageBreak/>
              <w:t>який розташований за адресою: м. Лисичанськ, вул. В. Сосюри, буд. 424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F268FA" w:rsidRDefault="00F268FA" w:rsidP="00F268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F268FA" w:rsidRDefault="00F268FA" w:rsidP="00F268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Місцевий бюджет та інші джерела, не заборонені чинним </w:t>
            </w: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F268FA" w:rsidRDefault="00F93102" w:rsidP="006D79A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70,431</w:t>
            </w:r>
          </w:p>
        </w:tc>
      </w:tr>
      <w:tr w:rsidR="00F268FA" w:rsidRPr="00F268FA" w:rsidTr="006A49C7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F268FA" w:rsidRDefault="00F268FA" w:rsidP="00F268FA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F268FA" w:rsidRDefault="00F93102" w:rsidP="00F268FA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F268FA" w:rsidRDefault="00F268FA" w:rsidP="00F268FA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F268FA" w:rsidRDefault="00F268FA" w:rsidP="00F268FA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F93102" w:rsidRDefault="00F93102" w:rsidP="006D79A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3102">
              <w:rPr>
                <w:rFonts w:ascii="Times New Roman" w:hAnsi="Times New Roman"/>
                <w:b/>
                <w:lang w:val="uk-UA"/>
              </w:rPr>
              <w:t>183,600</w:t>
            </w:r>
          </w:p>
        </w:tc>
      </w:tr>
      <w:tr w:rsidR="00F268FA" w:rsidRPr="00FE3FE3" w:rsidTr="006A49C7">
        <w:trPr>
          <w:trHeight w:val="258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F268FA" w:rsidRDefault="00F268FA" w:rsidP="006D79A1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F268FA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F268FA" w:rsidRDefault="00F93102" w:rsidP="006D79A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22 978,434</w:t>
            </w:r>
          </w:p>
        </w:tc>
      </w:tr>
    </w:tbl>
    <w:p w:rsidR="00F93102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0"/>
          <w:szCs w:val="20"/>
          <w:lang w:val="en-US"/>
        </w:rPr>
      </w:pPr>
    </w:p>
    <w:p w:rsidR="006A49C7" w:rsidRDefault="006A49C7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0"/>
          <w:szCs w:val="20"/>
          <w:lang w:val="en-US"/>
        </w:rPr>
      </w:pPr>
    </w:p>
    <w:p w:rsidR="006A49C7" w:rsidRPr="006A49C7" w:rsidRDefault="006A49C7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0"/>
          <w:szCs w:val="20"/>
          <w:lang w:val="en-US"/>
        </w:rPr>
      </w:pP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95D0FA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0A8A5" wp14:editId="1192C2E5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C9DA7D" id="Прямая соединительная линия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95E5" wp14:editId="5CC24FB3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8C6F55" id="Прямая соединительная линия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4A05D9" w:rsidRPr="00DA1777" w:rsidRDefault="004A05D9" w:rsidP="004A05D9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F875B2" w:rsidRPr="0063523D" w:rsidRDefault="00F875B2" w:rsidP="00BE2A41">
      <w:pPr>
        <w:pStyle w:val="20"/>
        <w:shd w:val="clear" w:color="auto" w:fill="auto"/>
        <w:spacing w:before="0" w:after="0" w:line="240" w:lineRule="auto"/>
        <w:jc w:val="both"/>
        <w:rPr>
          <w:szCs w:val="20"/>
        </w:rPr>
      </w:pPr>
    </w:p>
    <w:p w:rsidR="00F875B2" w:rsidRPr="00044230" w:rsidRDefault="00F875B2" w:rsidP="00BE2A41">
      <w:pPr>
        <w:pStyle w:val="20"/>
        <w:shd w:val="clear" w:color="auto" w:fill="auto"/>
        <w:spacing w:before="0" w:after="0" w:line="240" w:lineRule="auto"/>
        <w:jc w:val="both"/>
        <w:rPr>
          <w:b/>
          <w:szCs w:val="20"/>
        </w:rPr>
      </w:pPr>
    </w:p>
    <w:p w:rsidR="00F875B2" w:rsidRPr="00044230" w:rsidRDefault="00F875B2" w:rsidP="00BE2A41">
      <w:pPr>
        <w:pStyle w:val="20"/>
        <w:shd w:val="clear" w:color="auto" w:fill="auto"/>
        <w:spacing w:before="0" w:after="0" w:line="240" w:lineRule="auto"/>
        <w:jc w:val="both"/>
        <w:rPr>
          <w:b/>
          <w:szCs w:val="20"/>
        </w:rPr>
      </w:pPr>
    </w:p>
    <w:p w:rsidR="00A96C4F" w:rsidRDefault="00A96C4F" w:rsidP="002352C6">
      <w:pPr>
        <w:rPr>
          <w:sz w:val="28"/>
          <w:szCs w:val="28"/>
          <w:lang w:val="uk-UA" w:eastAsia="uk-UA"/>
        </w:rPr>
      </w:pPr>
    </w:p>
    <w:p w:rsidR="00F93102" w:rsidRDefault="00F93102" w:rsidP="002352C6">
      <w:pPr>
        <w:rPr>
          <w:sz w:val="28"/>
          <w:szCs w:val="28"/>
          <w:lang w:val="uk-UA" w:eastAsia="uk-UA"/>
        </w:rPr>
      </w:pPr>
    </w:p>
    <w:p w:rsidR="00A96C4F" w:rsidRPr="00044230" w:rsidRDefault="00A96C4F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D31865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C8624A" w:rsidRPr="009B330C" w:rsidRDefault="00C8624A" w:rsidP="00C8624A">
      <w:pPr>
        <w:jc w:val="both"/>
        <w:rPr>
          <w:b/>
          <w:sz w:val="28"/>
          <w:szCs w:val="28"/>
        </w:rPr>
      </w:pPr>
    </w:p>
    <w:sectPr w:rsidR="00C8624A" w:rsidRPr="009B330C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7B" w:rsidRDefault="00B2377B" w:rsidP="006F1556">
      <w:r>
        <w:separator/>
      </w:r>
    </w:p>
  </w:endnote>
  <w:endnote w:type="continuationSeparator" w:id="0">
    <w:p w:rsidR="00B2377B" w:rsidRDefault="00B237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7B" w:rsidRDefault="00B2377B" w:rsidP="006F1556">
      <w:r>
        <w:separator/>
      </w:r>
    </w:p>
  </w:footnote>
  <w:footnote w:type="continuationSeparator" w:id="0">
    <w:p w:rsidR="00B2377B" w:rsidRDefault="00B237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75712"/>
    <w:rsid w:val="001812DC"/>
    <w:rsid w:val="0018142A"/>
    <w:rsid w:val="00185704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08FB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2EC5"/>
    <w:rsid w:val="002D4AA4"/>
    <w:rsid w:val="002D51B5"/>
    <w:rsid w:val="002D55F0"/>
    <w:rsid w:val="002E6BC7"/>
    <w:rsid w:val="002E7C5A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12087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4A0A"/>
    <w:rsid w:val="004B02E6"/>
    <w:rsid w:val="004C00A9"/>
    <w:rsid w:val="004C23AC"/>
    <w:rsid w:val="004C435B"/>
    <w:rsid w:val="004C4D9D"/>
    <w:rsid w:val="004D1C6B"/>
    <w:rsid w:val="004D431C"/>
    <w:rsid w:val="004E70BD"/>
    <w:rsid w:val="004F02FF"/>
    <w:rsid w:val="004F6694"/>
    <w:rsid w:val="005232BF"/>
    <w:rsid w:val="00541E13"/>
    <w:rsid w:val="0054364E"/>
    <w:rsid w:val="0056140A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7CE8"/>
    <w:rsid w:val="00672F45"/>
    <w:rsid w:val="00674CB0"/>
    <w:rsid w:val="006855C0"/>
    <w:rsid w:val="006A49C7"/>
    <w:rsid w:val="006C32BC"/>
    <w:rsid w:val="006E1F5E"/>
    <w:rsid w:val="006E7F90"/>
    <w:rsid w:val="006F1556"/>
    <w:rsid w:val="006F2500"/>
    <w:rsid w:val="006F3C37"/>
    <w:rsid w:val="006F7AAD"/>
    <w:rsid w:val="00707406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53D"/>
    <w:rsid w:val="009B7F44"/>
    <w:rsid w:val="009C30A3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2377B"/>
    <w:rsid w:val="00B30BBE"/>
    <w:rsid w:val="00B341B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7B6D"/>
    <w:rsid w:val="00C07E61"/>
    <w:rsid w:val="00C129AF"/>
    <w:rsid w:val="00C20364"/>
    <w:rsid w:val="00C22F8A"/>
    <w:rsid w:val="00C34E48"/>
    <w:rsid w:val="00C50679"/>
    <w:rsid w:val="00C50B24"/>
    <w:rsid w:val="00C57444"/>
    <w:rsid w:val="00C60DFD"/>
    <w:rsid w:val="00C65AB5"/>
    <w:rsid w:val="00C72E0F"/>
    <w:rsid w:val="00C82260"/>
    <w:rsid w:val="00C8624A"/>
    <w:rsid w:val="00C93C94"/>
    <w:rsid w:val="00CA0636"/>
    <w:rsid w:val="00CA6CBB"/>
    <w:rsid w:val="00CB280F"/>
    <w:rsid w:val="00CB747E"/>
    <w:rsid w:val="00CC301C"/>
    <w:rsid w:val="00CD457E"/>
    <w:rsid w:val="00CE1ACF"/>
    <w:rsid w:val="00CE4FF0"/>
    <w:rsid w:val="00CE78B2"/>
    <w:rsid w:val="00CF09D4"/>
    <w:rsid w:val="00CF09DE"/>
    <w:rsid w:val="00CF375A"/>
    <w:rsid w:val="00CF6835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7F64-B8D6-4739-9C4F-6EDDF024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14</cp:revision>
  <cp:lastPrinted>2021-05-13T05:37:00Z</cp:lastPrinted>
  <dcterms:created xsi:type="dcterms:W3CDTF">2021-05-12T13:43:00Z</dcterms:created>
  <dcterms:modified xsi:type="dcterms:W3CDTF">2021-05-14T11:13:00Z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