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4D" w:rsidRPr="00FD1455" w:rsidRDefault="001E014D" w:rsidP="001E014D">
      <w:pPr>
        <w:pStyle w:val="Style2"/>
        <w:widowControl/>
        <w:spacing w:before="5" w:line="274" w:lineRule="exact"/>
        <w:ind w:firstLine="709"/>
        <w:jc w:val="center"/>
        <w:rPr>
          <w:rStyle w:val="FontStyle12"/>
          <w:rFonts w:ascii="Times New Roman" w:hAnsi="Times New Roman"/>
          <w:b/>
          <w:lang w:val="uk-UA"/>
        </w:rPr>
      </w:pPr>
      <w:r>
        <w:rPr>
          <w:rStyle w:val="FontStyle12"/>
          <w:rFonts w:ascii="Times New Roman" w:hAnsi="Times New Roman"/>
          <w:b/>
          <w:lang w:val="uk-UA"/>
        </w:rPr>
        <w:t>С</w:t>
      </w:r>
      <w:r w:rsidRPr="00FD1455">
        <w:rPr>
          <w:rStyle w:val="FontStyle12"/>
          <w:rFonts w:ascii="Times New Roman" w:hAnsi="Times New Roman"/>
          <w:b/>
          <w:lang w:val="uk-UA"/>
        </w:rPr>
        <w:t>ТРУКТУРА</w:t>
      </w:r>
    </w:p>
    <w:p w:rsidR="001E014D" w:rsidRPr="00FD1455" w:rsidRDefault="001E014D" w:rsidP="001E014D">
      <w:pPr>
        <w:pStyle w:val="Style2"/>
        <w:widowControl/>
        <w:spacing w:before="5" w:line="274" w:lineRule="exact"/>
        <w:ind w:firstLine="709"/>
        <w:jc w:val="center"/>
        <w:rPr>
          <w:rStyle w:val="FontStyle12"/>
          <w:rFonts w:ascii="Times New Roman" w:hAnsi="Times New Roman"/>
          <w:b/>
          <w:lang w:val="uk-UA"/>
        </w:rPr>
      </w:pPr>
      <w:r w:rsidRPr="00FD1455">
        <w:rPr>
          <w:rStyle w:val="FontStyle12"/>
          <w:rFonts w:ascii="Times New Roman" w:hAnsi="Times New Roman"/>
          <w:b/>
          <w:lang w:val="uk-UA"/>
        </w:rPr>
        <w:t>витрат на послуги з захоронення ТПВ, що надаються Лисичанським комунальним автотранспортним підприємством 032806</w:t>
      </w:r>
    </w:p>
    <w:p w:rsidR="001E014D" w:rsidRPr="00FD1455" w:rsidRDefault="001E014D" w:rsidP="001E014D">
      <w:pPr>
        <w:pStyle w:val="Style2"/>
        <w:widowControl/>
        <w:spacing w:before="5" w:line="274" w:lineRule="exact"/>
        <w:ind w:firstLine="709"/>
        <w:jc w:val="both"/>
        <w:rPr>
          <w:rStyle w:val="FontStyle12"/>
          <w:rFonts w:ascii="Times New Roman" w:hAnsi="Times New Roman"/>
          <w:lang w:val="uk-UA"/>
        </w:rPr>
      </w:pPr>
      <w:r w:rsidRPr="00FD1455">
        <w:rPr>
          <w:rStyle w:val="FontStyle12"/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3362"/>
        <w:gridCol w:w="1410"/>
        <w:gridCol w:w="1383"/>
        <w:gridCol w:w="1323"/>
        <w:gridCol w:w="1347"/>
      </w:tblGrid>
      <w:tr w:rsidR="001E014D" w:rsidRPr="00FD1455" w:rsidTr="004232DF">
        <w:trPr>
          <w:trHeight w:val="360"/>
        </w:trPr>
        <w:tc>
          <w:tcPr>
            <w:tcW w:w="756" w:type="dxa"/>
            <w:vMerge w:val="restart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3747" w:type="dxa"/>
            <w:vMerge w:val="restart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bCs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Найменування показників</w:t>
            </w:r>
          </w:p>
        </w:tc>
        <w:tc>
          <w:tcPr>
            <w:tcW w:w="5483" w:type="dxa"/>
            <w:gridSpan w:val="4"/>
            <w:shd w:val="clear" w:color="auto" w:fill="auto"/>
          </w:tcPr>
          <w:p w:rsidR="001E014D" w:rsidRPr="00FD1455" w:rsidRDefault="001E014D" w:rsidP="004232DF">
            <w:pPr>
              <w:pStyle w:val="Style2"/>
              <w:jc w:val="center"/>
              <w:rPr>
                <w:rStyle w:val="FontStyle12"/>
                <w:rFonts w:ascii="Times New Roman" w:hAnsi="Times New Roman"/>
                <w:b/>
                <w:bCs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Споживачі</w:t>
            </w:r>
          </w:p>
        </w:tc>
      </w:tr>
      <w:tr w:rsidR="001E014D" w:rsidRPr="00FD1455" w:rsidTr="004232DF">
        <w:trPr>
          <w:trHeight w:val="195"/>
        </w:trPr>
        <w:tc>
          <w:tcPr>
            <w:tcW w:w="756" w:type="dxa"/>
            <w:vMerge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</w:p>
        </w:tc>
        <w:tc>
          <w:tcPr>
            <w:tcW w:w="3747" w:type="dxa"/>
            <w:vMerge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bCs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 xml:space="preserve">Населення державного сектору  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D1455">
                <w:rPr>
                  <w:rStyle w:val="FontStyle12"/>
                  <w:rFonts w:ascii="Times New Roman" w:hAnsi="Times New Roman"/>
                  <w:b/>
                  <w:bCs/>
                  <w:lang w:val="uk-UA"/>
                </w:rPr>
                <w:t xml:space="preserve">1 </w:t>
              </w:r>
              <w:proofErr w:type="spellStart"/>
              <w:r w:rsidRPr="00FD1455">
                <w:rPr>
                  <w:rStyle w:val="FontStyle12"/>
                  <w:rFonts w:ascii="Times New Roman" w:hAnsi="Times New Roman"/>
                  <w:b/>
                  <w:bCs/>
                  <w:lang w:val="uk-UA"/>
                </w:rPr>
                <w:t>м</w:t>
              </w:r>
            </w:smartTag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.куб</w:t>
            </w:r>
            <w:proofErr w:type="spellEnd"/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.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bCs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Населення</w:t>
            </w:r>
          </w:p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bCs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приватного</w:t>
            </w:r>
          </w:p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bCs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 xml:space="preserve">сектору 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D1455">
                <w:rPr>
                  <w:rStyle w:val="FontStyle12"/>
                  <w:rFonts w:ascii="Times New Roman" w:hAnsi="Times New Roman"/>
                  <w:b/>
                  <w:bCs/>
                  <w:lang w:val="uk-UA"/>
                </w:rPr>
                <w:t xml:space="preserve">1 </w:t>
              </w:r>
              <w:proofErr w:type="spellStart"/>
              <w:r w:rsidRPr="00FD1455">
                <w:rPr>
                  <w:rStyle w:val="FontStyle12"/>
                  <w:rFonts w:ascii="Times New Roman" w:hAnsi="Times New Roman"/>
                  <w:b/>
                  <w:bCs/>
                  <w:lang w:val="uk-UA"/>
                </w:rPr>
                <w:t>м</w:t>
              </w:r>
            </w:smartTag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.куб</w:t>
            </w:r>
            <w:proofErr w:type="spellEnd"/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.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bCs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 xml:space="preserve">Споживачі II групи (бюджетні установи) 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D1455">
                <w:rPr>
                  <w:rStyle w:val="FontStyle12"/>
                  <w:rFonts w:ascii="Times New Roman" w:hAnsi="Times New Roman"/>
                  <w:b/>
                  <w:bCs/>
                  <w:lang w:val="uk-UA"/>
                </w:rPr>
                <w:t xml:space="preserve">1 </w:t>
              </w:r>
              <w:proofErr w:type="spellStart"/>
              <w:r w:rsidRPr="00FD1455">
                <w:rPr>
                  <w:rStyle w:val="FontStyle12"/>
                  <w:rFonts w:ascii="Times New Roman" w:hAnsi="Times New Roman"/>
                  <w:b/>
                  <w:bCs/>
                  <w:lang w:val="uk-UA"/>
                </w:rPr>
                <w:t>м</w:t>
              </w:r>
            </w:smartTag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.куб</w:t>
            </w:r>
            <w:proofErr w:type="spellEnd"/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.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bCs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Споживачі III групи (інші споживачі)</w:t>
            </w:r>
          </w:p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bCs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D1455">
                <w:rPr>
                  <w:rStyle w:val="FontStyle12"/>
                  <w:rFonts w:ascii="Times New Roman" w:hAnsi="Times New Roman"/>
                  <w:b/>
                  <w:bCs/>
                  <w:lang w:val="uk-UA"/>
                </w:rPr>
                <w:t xml:space="preserve">1 </w:t>
              </w:r>
              <w:proofErr w:type="spellStart"/>
              <w:r w:rsidRPr="00FD1455">
                <w:rPr>
                  <w:rStyle w:val="FontStyle12"/>
                  <w:rFonts w:ascii="Times New Roman" w:hAnsi="Times New Roman"/>
                  <w:b/>
                  <w:bCs/>
                  <w:lang w:val="uk-UA"/>
                </w:rPr>
                <w:t>м</w:t>
              </w:r>
            </w:smartTag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.куб</w:t>
            </w:r>
            <w:proofErr w:type="spellEnd"/>
            <w:r w:rsidRPr="00FD1455">
              <w:rPr>
                <w:rStyle w:val="FontStyle12"/>
                <w:rFonts w:ascii="Times New Roman" w:hAnsi="Times New Roman"/>
                <w:b/>
                <w:bCs/>
                <w:lang w:val="uk-UA"/>
              </w:rPr>
              <w:t>.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Виробнича собівартість у т.ч.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31,96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31,96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31,96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31,96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1.1.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Прямі матеріальні витрати у т.ч.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1,59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1,59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1,59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1,59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1.1.1.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витрати на паливо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1,50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1,50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1,50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1,50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1.1.2.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витрати на ремонт і ТО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0,09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0,09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0,09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0,09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1.1.3.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витрати на шини та інші матеріали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0,00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0,00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1.2.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Прямі витрати на оплату праці з відрахуванням на соціальні заходи(єдиний внесок)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9,43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9,43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9,43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9,43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1.3.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Інші прямі витрати  у т.ч.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16,15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16,15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16,15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16,15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1.3.1.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амортизаційні відрахування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0,09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0,09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0,09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0,09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1.3.2.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Інші прямі витрати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16,06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16,06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16,06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16,06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1.4.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Загальновиробничі витрати у т.ч.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4,79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4,79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4,79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4,79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1.4.1.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витрати на оплату праці з відрахуванням на соціальні заходи(єдиний внесок)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4,08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4,08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4,08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4,08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1.4.2.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Інші витрати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0,71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0,71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0,71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0,71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Адміністративні витрати у т.ч.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5,36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5,36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5,36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5,36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2.1.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витрати на оплату праці з відрахуванням на соціальні заходи(єдиний внесок)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5,04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5,04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5,04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5,04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2.2.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Інші витрати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0,32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0,32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0,32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0,32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Витрати на збут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0,80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0,80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3.1.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витрати на оплату праці з відрахуванням на соціальні заходи(єдиний внесок)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0,77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0,77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0,77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0,77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3.2.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Інші витрати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0,03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0,03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0,03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0,03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Всього собівартість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38,12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38,12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38,12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38,12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Плановий прибуток у т.ч.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3,63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3,63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4,58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7,63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5.1.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Податок на прибуток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0,65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0,65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0,82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1,37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5.2.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2,98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2,98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3,76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lang w:val="uk-UA"/>
              </w:rPr>
              <w:t>6,26</w:t>
            </w:r>
          </w:p>
        </w:tc>
      </w:tr>
      <w:tr w:rsidR="001E014D" w:rsidRPr="00FD1455" w:rsidTr="004232DF">
        <w:trPr>
          <w:trHeight w:val="1221"/>
        </w:trPr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6.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Тариф на послуги з поводження з побутовими відходами (захоронення побутових відходів) без ПДВ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41,75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41,75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42,70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45,75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7.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Податок на додану вартість (ПДВ 20%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8,35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8,35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8,54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9,15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8.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 xml:space="preserve">Тариф на послуги з </w:t>
            </w: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lastRenderedPageBreak/>
              <w:t>поводження з побутовими відходами (захоронення побутових відходів)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lastRenderedPageBreak/>
              <w:t>50,10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50,10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51,24</w:t>
            </w: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54,90</w:t>
            </w:r>
          </w:p>
        </w:tc>
      </w:tr>
      <w:tr w:rsidR="001E014D" w:rsidRPr="00FD1455" w:rsidTr="004232DF">
        <w:tc>
          <w:tcPr>
            <w:tcW w:w="75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lastRenderedPageBreak/>
              <w:t>9.</w:t>
            </w:r>
          </w:p>
        </w:tc>
        <w:tc>
          <w:tcPr>
            <w:tcW w:w="3747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Плата на послуги з поводження з побутовими відходами (вивезення побутових відходів) на 1 людину в місяць з ПДВ</w:t>
            </w:r>
          </w:p>
        </w:tc>
        <w:tc>
          <w:tcPr>
            <w:tcW w:w="1418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5,43</w:t>
            </w:r>
          </w:p>
        </w:tc>
        <w:tc>
          <w:tcPr>
            <w:tcW w:w="1385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lang w:val="uk-UA"/>
              </w:rPr>
              <w:t>6,14</w:t>
            </w:r>
          </w:p>
        </w:tc>
        <w:tc>
          <w:tcPr>
            <w:tcW w:w="1326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54" w:type="dxa"/>
            <w:shd w:val="clear" w:color="auto" w:fill="auto"/>
          </w:tcPr>
          <w:p w:rsidR="001E014D" w:rsidRPr="00FD1455" w:rsidRDefault="001E014D" w:rsidP="004232DF">
            <w:pPr>
              <w:pStyle w:val="Style2"/>
              <w:rPr>
                <w:rStyle w:val="FontStyle12"/>
                <w:rFonts w:ascii="Times New Roman" w:hAnsi="Times New Roman"/>
                <w:b/>
                <w:lang w:val="uk-UA"/>
              </w:rPr>
            </w:pPr>
          </w:p>
        </w:tc>
      </w:tr>
    </w:tbl>
    <w:p w:rsidR="001E014D" w:rsidRPr="00FD1455" w:rsidRDefault="001E014D" w:rsidP="001E014D">
      <w:pPr>
        <w:pStyle w:val="Style2"/>
        <w:widowControl/>
        <w:spacing w:before="5" w:line="274" w:lineRule="exact"/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</w:pPr>
      <w:r w:rsidRPr="00FD1455"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  <w:t xml:space="preserve">Генеральний директор </w:t>
      </w:r>
    </w:p>
    <w:p w:rsidR="001E014D" w:rsidRPr="00FD1455" w:rsidRDefault="001E014D" w:rsidP="001E014D">
      <w:pPr>
        <w:pStyle w:val="Style2"/>
        <w:widowControl/>
        <w:spacing w:before="5" w:line="274" w:lineRule="exact"/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</w:pPr>
      <w:r w:rsidRPr="00FD1455"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  <w:t xml:space="preserve">Лисичанського КАТП 032806                </w:t>
      </w:r>
      <w:r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</w:t>
      </w:r>
      <w:r w:rsidRPr="00FD1455"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  <w:t xml:space="preserve">           Артур ХМЕЛЕВСЬКИЙ    </w:t>
      </w:r>
    </w:p>
    <w:p w:rsidR="001E014D" w:rsidRPr="00FD1455" w:rsidRDefault="001E014D" w:rsidP="001E014D">
      <w:pPr>
        <w:pStyle w:val="Style2"/>
        <w:widowControl/>
        <w:spacing w:before="5" w:line="274" w:lineRule="exact"/>
        <w:jc w:val="both"/>
        <w:rPr>
          <w:rStyle w:val="FontStyle12"/>
          <w:rFonts w:ascii="Times New Roman" w:hAnsi="Times New Roman"/>
          <w:lang w:val="uk-UA"/>
        </w:rPr>
      </w:pPr>
    </w:p>
    <w:p w:rsidR="00A15495" w:rsidRDefault="00A15495">
      <w:bookmarkStart w:id="0" w:name="_GoBack"/>
      <w:bookmarkEnd w:id="0"/>
    </w:p>
    <w:sectPr w:rsidR="00A1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AA"/>
    <w:rsid w:val="001E014D"/>
    <w:rsid w:val="008A17AA"/>
    <w:rsid w:val="00A1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E014D"/>
    <w:pPr>
      <w:widowControl w:val="0"/>
      <w:autoSpaceDE w:val="0"/>
      <w:autoSpaceDN w:val="0"/>
      <w:adjustRightInd w:val="0"/>
      <w:spacing w:line="277" w:lineRule="exact"/>
    </w:pPr>
    <w:rPr>
      <w:rFonts w:ascii="Arial" w:hAnsi="Arial"/>
    </w:rPr>
  </w:style>
  <w:style w:type="character" w:customStyle="1" w:styleId="FontStyle12">
    <w:name w:val="Font Style12"/>
    <w:rsid w:val="001E014D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E014D"/>
    <w:pPr>
      <w:widowControl w:val="0"/>
      <w:autoSpaceDE w:val="0"/>
      <w:autoSpaceDN w:val="0"/>
      <w:adjustRightInd w:val="0"/>
      <w:spacing w:line="277" w:lineRule="exact"/>
    </w:pPr>
    <w:rPr>
      <w:rFonts w:ascii="Arial" w:hAnsi="Arial"/>
    </w:rPr>
  </w:style>
  <w:style w:type="character" w:customStyle="1" w:styleId="FontStyle12">
    <w:name w:val="Font Style12"/>
    <w:rsid w:val="001E014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2021-06-10T13:06:00Z</dcterms:created>
  <dcterms:modified xsi:type="dcterms:W3CDTF">2021-06-10T13:06:00Z</dcterms:modified>
</cp:coreProperties>
</file>