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2" w:rsidRPr="00C523E7" w:rsidRDefault="004A6C72" w:rsidP="004A6C72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0551D112" wp14:editId="2ECE420C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72" w:rsidRPr="00C523E7" w:rsidRDefault="004A6C72" w:rsidP="004A6C72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4A6C72" w:rsidRPr="00C523E7" w:rsidRDefault="004A6C72" w:rsidP="004A6C7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A6C72" w:rsidRPr="00C523E7" w:rsidRDefault="004A6C72" w:rsidP="004A6C7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A6C72" w:rsidRPr="004A6C72" w:rsidRDefault="004A6C72" w:rsidP="004A6C72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A6C72" w:rsidRPr="00C523E7" w:rsidRDefault="004A6C72" w:rsidP="004A6C7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A6C72" w:rsidRPr="00C523E7" w:rsidRDefault="004A6C72" w:rsidP="004A6C7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8303BA" w:rsidRDefault="004A6C72" w:rsidP="004A6C72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8303BA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D12956" w:rsidRDefault="00D12956" w:rsidP="00A54BD0">
      <w:pPr>
        <w:pStyle w:val="af2"/>
        <w:rPr>
          <w:rFonts w:ascii="Times New Roman" w:hAnsi="Times New Roman"/>
          <w:sz w:val="28"/>
          <w:szCs w:val="28"/>
        </w:rPr>
      </w:pPr>
      <w:r w:rsidRPr="00D12956">
        <w:rPr>
          <w:rFonts w:ascii="Times New Roman" w:hAnsi="Times New Roman"/>
          <w:sz w:val="28"/>
          <w:szCs w:val="28"/>
        </w:rPr>
        <w:t>09.07.2021</w:t>
      </w:r>
      <w:r w:rsidRPr="00D12956">
        <w:rPr>
          <w:rFonts w:ascii="Times New Roman" w:hAnsi="Times New Roman"/>
          <w:sz w:val="28"/>
          <w:szCs w:val="28"/>
        </w:rPr>
        <w:tab/>
      </w:r>
      <w:r w:rsidR="00FD04F5" w:rsidRPr="008303BA">
        <w:rPr>
          <w:rFonts w:ascii="Times New Roman" w:hAnsi="Times New Roman"/>
          <w:sz w:val="28"/>
          <w:szCs w:val="28"/>
          <w:lang w:val="uk-UA"/>
        </w:rPr>
        <w:tab/>
      </w:r>
      <w:r w:rsidR="001E625A" w:rsidRPr="008303B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303BA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8303BA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303BA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8303BA">
        <w:rPr>
          <w:rFonts w:ascii="Times New Roman" w:hAnsi="Times New Roman"/>
          <w:sz w:val="28"/>
          <w:szCs w:val="28"/>
          <w:lang w:val="uk-UA"/>
        </w:rPr>
        <w:tab/>
      </w:r>
      <w:r w:rsidR="00BF3489" w:rsidRPr="008303BA">
        <w:rPr>
          <w:rFonts w:ascii="Times New Roman" w:hAnsi="Times New Roman"/>
          <w:sz w:val="28"/>
          <w:szCs w:val="28"/>
          <w:lang w:val="uk-UA"/>
        </w:rPr>
        <w:tab/>
      </w:r>
      <w:r w:rsidR="00BF3489" w:rsidRPr="008303BA">
        <w:rPr>
          <w:rFonts w:ascii="Times New Roman" w:hAnsi="Times New Roman"/>
          <w:sz w:val="28"/>
          <w:szCs w:val="28"/>
          <w:lang w:val="uk-UA"/>
        </w:rPr>
        <w:tab/>
      </w:r>
      <w:r w:rsidR="00BF3489" w:rsidRPr="008303BA">
        <w:rPr>
          <w:rFonts w:ascii="Times New Roman" w:hAnsi="Times New Roman"/>
          <w:sz w:val="28"/>
          <w:szCs w:val="28"/>
          <w:lang w:val="uk-UA"/>
        </w:rPr>
        <w:tab/>
      </w:r>
      <w:r w:rsidR="001E625A" w:rsidRPr="008303B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8303BA">
        <w:rPr>
          <w:rFonts w:ascii="Times New Roman" w:hAnsi="Times New Roman"/>
          <w:sz w:val="28"/>
          <w:szCs w:val="28"/>
          <w:lang w:val="uk-UA"/>
        </w:rPr>
        <w:t>№</w:t>
      </w:r>
      <w:r w:rsidRPr="00D12956">
        <w:rPr>
          <w:rFonts w:ascii="Times New Roman" w:hAnsi="Times New Roman"/>
          <w:sz w:val="28"/>
          <w:szCs w:val="28"/>
        </w:rPr>
        <w:t xml:space="preserve"> 665</w:t>
      </w:r>
    </w:p>
    <w:p w:rsidR="008C5AA2" w:rsidRPr="008303BA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3D5443" w:rsidRPr="008303BA" w:rsidRDefault="003D5443" w:rsidP="008303BA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Про внесення змін до розпорядження від 2</w:t>
      </w:r>
      <w:r w:rsidR="004A6C72">
        <w:rPr>
          <w:rFonts w:ascii="Times New Roman" w:hAnsi="Times New Roman"/>
          <w:b/>
          <w:sz w:val="28"/>
          <w:szCs w:val="28"/>
          <w:lang w:val="uk-UA"/>
        </w:rPr>
        <w:t>4</w:t>
      </w:r>
      <w:r w:rsidR="008303BA" w:rsidRPr="008303B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0</w:t>
      </w:r>
      <w:r w:rsidR="004A6C72">
        <w:rPr>
          <w:rFonts w:ascii="Times New Roman" w:hAnsi="Times New Roman"/>
          <w:b/>
          <w:sz w:val="28"/>
          <w:szCs w:val="28"/>
          <w:lang w:val="uk-UA"/>
        </w:rPr>
        <w:t>2.2021 № 20</w:t>
      </w:r>
      <w:r w:rsidR="008303BA" w:rsidRPr="008303BA">
        <w:rPr>
          <w:rFonts w:ascii="Times New Roman" w:hAnsi="Times New Roman"/>
          <w:b/>
          <w:sz w:val="28"/>
          <w:szCs w:val="28"/>
          <w:lang w:val="uk-UA"/>
        </w:rPr>
        <w:t>9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КНП «Міська стоматологічна поліклініка» на 2021 рік»</w:t>
      </w:r>
    </w:p>
    <w:p w:rsidR="003D5443" w:rsidRPr="008303BA" w:rsidRDefault="003D5443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8303BA" w:rsidRDefault="0055520D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</w:t>
      </w:r>
      <w:r w:rsidR="006344D2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8303BA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3D5443" w:rsidRPr="008303BA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8303BA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8A0D01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Закону України «Основи законодавства України про охорону</w:t>
      </w:r>
      <w:r w:rsidR="008A0D01" w:rsidRPr="008303BA">
        <w:rPr>
          <w:rFonts w:ascii="Times New Roman" w:hAnsi="Times New Roman"/>
          <w:sz w:val="28"/>
          <w:szCs w:val="28"/>
          <w:lang w:val="uk-UA"/>
        </w:rPr>
        <w:t xml:space="preserve"> здоров'я» від 19.11.1992 № 2802</w:t>
      </w:r>
      <w:r w:rsidRPr="008303BA">
        <w:rPr>
          <w:rFonts w:ascii="Times New Roman" w:hAnsi="Times New Roman"/>
          <w:sz w:val="28"/>
          <w:szCs w:val="28"/>
          <w:lang w:val="uk-UA"/>
        </w:rPr>
        <w:t xml:space="preserve">-XII, статтею 3 Закону України «Про державні фінансові гарантії медичного обслуговування населення» від 19.10.2017 № 2168-VIII, </w:t>
      </w:r>
      <w:r w:rsidR="003D5443" w:rsidRPr="008303BA">
        <w:rPr>
          <w:rFonts w:ascii="Times New Roman" w:hAnsi="Times New Roman"/>
          <w:sz w:val="28"/>
          <w:szCs w:val="28"/>
          <w:lang w:val="uk-UA"/>
        </w:rPr>
        <w:t>підпунктом 3 пункту 1 статті 89 Бюджетного кодексу України від 08.07.2010 № 2456-VІ</w:t>
      </w:r>
      <w:r w:rsidRPr="008303BA">
        <w:rPr>
          <w:rFonts w:ascii="Times New Roman" w:hAnsi="Times New Roman"/>
          <w:sz w:val="28"/>
          <w:szCs w:val="28"/>
          <w:lang w:val="uk-UA"/>
        </w:rPr>
        <w:t>, розпорядженням КМУ «Про схвалення Концепції реформи фінансування системи охорони здоров’я» від 30.11.2016 № 1013-р</w:t>
      </w:r>
    </w:p>
    <w:p w:rsidR="00A413EC" w:rsidRPr="004A6C72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8303BA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4A6C72" w:rsidRDefault="00AC32C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54BD0" w:rsidRPr="008303BA" w:rsidRDefault="003D5443" w:rsidP="005946CE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="005946CE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DBE" w:rsidRPr="008303BA">
        <w:rPr>
          <w:rFonts w:ascii="Times New Roman" w:hAnsi="Times New Roman"/>
          <w:sz w:val="28"/>
          <w:szCs w:val="28"/>
          <w:lang w:val="uk-UA"/>
        </w:rPr>
        <w:t>«</w:t>
      </w:r>
      <w:r w:rsidRPr="008303BA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6C7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«</w:t>
      </w:r>
      <w:r w:rsidR="00016E3B" w:rsidRPr="008303BA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6CE" w:rsidRPr="008303BA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рік»</w:t>
      </w:r>
      <w:r w:rsidR="005946CE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та затвердити її в новій редакції (Додаток).</w:t>
      </w:r>
    </w:p>
    <w:p w:rsidR="008303BA" w:rsidRPr="004A6C72" w:rsidRDefault="008303BA" w:rsidP="008303BA">
      <w:pPr>
        <w:pStyle w:val="af2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8303BA" w:rsidRDefault="004A6C72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Програми покласти на 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8303BA" w:rsidRPr="004A6C72" w:rsidRDefault="008303BA" w:rsidP="008303BA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8303BA" w:rsidRDefault="00AC32C2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8303BA" w:rsidRPr="004A6C72" w:rsidRDefault="008303BA" w:rsidP="008303BA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46CE" w:rsidRPr="008303BA" w:rsidRDefault="004A6C7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4A6C72" w:rsidRPr="008303BA" w:rsidRDefault="004A6C7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4A6C72" w:rsidRPr="00C523E7" w:rsidRDefault="004A6C72" w:rsidP="004A6C72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Лисичанської міської </w:t>
      </w:r>
    </w:p>
    <w:p w:rsidR="00A413EC" w:rsidRPr="008303BA" w:rsidRDefault="004A6C72" w:rsidP="004A6C72">
      <w:pPr>
        <w:pStyle w:val="af2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8303BA" w:rsidRDefault="00B64A24" w:rsidP="00C7205F">
      <w:pPr>
        <w:pStyle w:val="af2"/>
        <w:ind w:left="424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C7205F" w:rsidRDefault="00B64A24" w:rsidP="00C7205F">
      <w:pPr>
        <w:pStyle w:val="af2"/>
        <w:ind w:left="3540" w:firstLine="70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керівника</w:t>
      </w:r>
      <w:r w:rsidR="00C7205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A6C72">
        <w:rPr>
          <w:rFonts w:ascii="Times New Roman" w:hAnsi="Times New Roman"/>
          <w:sz w:val="26"/>
          <w:szCs w:val="26"/>
          <w:lang w:val="uk-UA"/>
        </w:rPr>
        <w:t xml:space="preserve">Лисичанської </w:t>
      </w:r>
    </w:p>
    <w:p w:rsidR="00B64A24" w:rsidRPr="008303BA" w:rsidRDefault="004A6C72" w:rsidP="00C7205F">
      <w:pPr>
        <w:pStyle w:val="af2"/>
        <w:ind w:left="3540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B64A24" w:rsidRPr="008303BA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8303BA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8303BA" w:rsidRDefault="004A6C72" w:rsidP="00C7205F">
      <w:pPr>
        <w:pStyle w:val="af2"/>
        <w:ind w:left="3540" w:firstLine="708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B64A24" w:rsidRPr="008303BA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8303BA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D76189" w:rsidRDefault="00B64A24" w:rsidP="00C7205F">
      <w:pPr>
        <w:pStyle w:val="af2"/>
        <w:ind w:left="3540" w:firstLine="70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76189" w:rsidRPr="00D76189">
        <w:rPr>
          <w:rFonts w:ascii="Times New Roman" w:hAnsi="Times New Roman"/>
          <w:sz w:val="26"/>
          <w:szCs w:val="26"/>
          <w:lang w:val="uk-UA"/>
        </w:rPr>
        <w:t>09.07.</w:t>
      </w:r>
      <w:r w:rsidR="00D76189">
        <w:rPr>
          <w:rFonts w:ascii="Times New Roman" w:hAnsi="Times New Roman"/>
          <w:sz w:val="26"/>
          <w:szCs w:val="26"/>
          <w:lang w:val="en-US"/>
        </w:rPr>
        <w:t xml:space="preserve">2021 </w:t>
      </w:r>
      <w:r w:rsidRPr="008303BA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76189" w:rsidRPr="00D76189">
        <w:rPr>
          <w:rFonts w:ascii="Times New Roman" w:hAnsi="Times New Roman"/>
          <w:sz w:val="26"/>
          <w:szCs w:val="26"/>
          <w:lang w:val="uk-UA"/>
        </w:rPr>
        <w:t>665</w:t>
      </w:r>
    </w:p>
    <w:p w:rsidR="00FD2C7A" w:rsidRPr="00C7205F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8303BA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8303BA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8303BA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«</w:t>
      </w:r>
      <w:r w:rsidR="009751F1" w:rsidRPr="008303BA">
        <w:rPr>
          <w:rFonts w:ascii="Times New Roman" w:hAnsi="Times New Roman"/>
          <w:b/>
          <w:sz w:val="26"/>
          <w:szCs w:val="26"/>
          <w:lang w:val="uk-UA"/>
        </w:rPr>
        <w:t>Міська стоматологічна поліклініка</w:t>
      </w:r>
      <w:r w:rsidR="00E40876" w:rsidRPr="008303BA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946CE" w:rsidRPr="008303BA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7205F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D12956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A54BD0" w:rsidP="004A6C7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41B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4A6C72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4A6C7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D12956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55520D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військово-цивільні адміністрації», Закону України «Основи законодавства України про охорону здоров'я», Закон України «Про державні фінансові гарантії медичного обслуговування населення», Бюджетний кодекс України</w:t>
            </w:r>
            <w:r w:rsidR="003D5443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D12956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4A6C72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 w:rsidR="00041BCE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Лисичанської міської</w:t>
            </w:r>
            <w:r w:rsidR="00041BCE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8303BA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Pr="008303BA" w:rsidRDefault="004A6C72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 w:rsidR="00041BCE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Лисичанської міської</w:t>
            </w:r>
            <w:r w:rsidR="00041BCE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  <w:r w:rsidR="007C30F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303BA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303BA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0037A9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5946CE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8303BA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0037A9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8303BA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0037A9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8303BA" w:rsidRDefault="004A6C72" w:rsidP="00DC01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6C7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A6C72">
              <w:rPr>
                <w:rFonts w:ascii="Times New Roman" w:hAnsi="Times New Roman"/>
                <w:sz w:val="26"/>
                <w:szCs w:val="26"/>
                <w:lang w:val="uk-UA"/>
              </w:rPr>
              <w:t>010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A6C72">
              <w:rPr>
                <w:rFonts w:ascii="Times New Roman" w:hAnsi="Times New Roman"/>
                <w:sz w:val="26"/>
                <w:szCs w:val="26"/>
                <w:lang w:val="uk-UA"/>
              </w:rPr>
              <w:t>751</w:t>
            </w:r>
          </w:p>
        </w:tc>
      </w:tr>
    </w:tbl>
    <w:p w:rsidR="00A54BD0" w:rsidRPr="00C7205F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8303BA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E625A" w:rsidRPr="008303BA" w:rsidRDefault="009751F1" w:rsidP="001E625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lang w:val="uk-UA"/>
        </w:rPr>
        <w:tab/>
      </w:r>
      <w:r w:rsidRPr="008303BA">
        <w:rPr>
          <w:rFonts w:ascii="Times New Roman" w:hAnsi="Times New Roman"/>
          <w:sz w:val="26"/>
          <w:szCs w:val="26"/>
          <w:lang w:val="uk-UA"/>
        </w:rPr>
        <w:t>Одним із пріоритетів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 охороні здоров’я населення визначено на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>дання стоматологічної допомоги.</w:t>
      </w:r>
    </w:p>
    <w:p w:rsidR="004A6C72" w:rsidRDefault="009751F1" w:rsidP="004A6C7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У КНП «Міська стоматологічна поліклініка» проводиться реалізація заходів спрямованих на підвищення якості та ефективності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надання медичних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стоматологічних послуг, наближення кваліфікованої стоматологічної допомоги до кожного мешканця, поліпшення стоматологічного обслуговування населення, раціонального використ</w:t>
      </w:r>
      <w:r w:rsidR="004A6C72">
        <w:rPr>
          <w:rFonts w:ascii="Times New Roman" w:hAnsi="Times New Roman"/>
          <w:sz w:val="26"/>
          <w:szCs w:val="26"/>
          <w:lang w:val="uk-UA"/>
        </w:rPr>
        <w:t>ання ресурсів охорони здоров'я.</w:t>
      </w:r>
    </w:p>
    <w:p w:rsidR="004A6C72" w:rsidRPr="00824EB0" w:rsidRDefault="004A6C72" w:rsidP="00824EB0">
      <w:pPr>
        <w:pStyle w:val="af2"/>
        <w:ind w:left="7080"/>
        <w:jc w:val="both"/>
        <w:rPr>
          <w:rFonts w:ascii="Times New Roman" w:hAnsi="Times New Roman"/>
          <w:color w:val="808080" w:themeColor="background1" w:themeShade="80"/>
          <w:sz w:val="24"/>
          <w:lang w:val="en-US"/>
        </w:rPr>
      </w:pPr>
      <w:r w:rsidRPr="004A6C72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A6C72" w:rsidRDefault="009751F1" w:rsidP="004A6C7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Стоматологічна допомога є на сьогодні частиною спеціалізованої амбулаторної допомоги, тому управління стоматологічною допомогою без застосування економічних важелів практично неможливе.</w:t>
      </w:r>
    </w:p>
    <w:p w:rsidR="009751F1" w:rsidRPr="008303BA" w:rsidRDefault="009751F1" w:rsidP="004A6C7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</w:t>
      </w:r>
      <w:r w:rsidR="003D5443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1E625A" w:rsidRPr="008303BA" w:rsidRDefault="009751F1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Комунальне некомерційне підприємство Лисичанської міської ради Луганської області «Міська стоматологічна поліклініка» (далі - Підприємство) створено за</w:t>
      </w:r>
      <w:r w:rsidR="007C30F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рішенням Лисичанської міської ради </w:t>
      </w:r>
      <w:r w:rsidRPr="008303BA">
        <w:rPr>
          <w:rFonts w:ascii="Times New Roman" w:hAnsi="Times New Roman"/>
          <w:spacing w:val="12"/>
          <w:sz w:val="26"/>
          <w:szCs w:val="26"/>
          <w:lang w:val="uk-UA"/>
        </w:rPr>
        <w:t>від 23.01.2</w:t>
      </w:r>
      <w:r w:rsidR="0055520D" w:rsidRPr="008303BA">
        <w:rPr>
          <w:rFonts w:ascii="Times New Roman" w:hAnsi="Times New Roman"/>
          <w:spacing w:val="12"/>
          <w:sz w:val="26"/>
          <w:szCs w:val="26"/>
          <w:lang w:val="uk-UA"/>
        </w:rPr>
        <w:t xml:space="preserve">020 №83/1190 «Про організаційні </w:t>
      </w:r>
      <w:r w:rsidRPr="008303BA">
        <w:rPr>
          <w:rFonts w:ascii="Times New Roman" w:hAnsi="Times New Roman"/>
          <w:spacing w:val="12"/>
          <w:sz w:val="26"/>
          <w:szCs w:val="26"/>
          <w:lang w:val="uk-UA"/>
        </w:rPr>
        <w:t xml:space="preserve">заходи з питань діяльності КНП «Міська стоматологічна поліклініка» </w:t>
      </w:r>
      <w:r w:rsidRPr="008303BA">
        <w:rPr>
          <w:rFonts w:ascii="Times New Roman" w:hAnsi="Times New Roman"/>
          <w:sz w:val="26"/>
          <w:szCs w:val="26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правонаступником зазначеного комунального закладу, а також до Закону України «Про державну реєстрацію юридичних осіб та фізичних ос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іб-підприємців» від 29.01.2020. </w:t>
      </w:r>
      <w:r w:rsidRPr="008303BA">
        <w:rPr>
          <w:rFonts w:ascii="Times New Roman" w:hAnsi="Times New Roman"/>
          <w:sz w:val="26"/>
          <w:szCs w:val="26"/>
          <w:lang w:val="uk-UA"/>
        </w:rPr>
        <w:t>Підприємство є самостійним господарюючим суб’єктом із статусом комунального некомерційного підприємства та наділено усіма правами юридичної особи.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Підприємство має самостійний баланс,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ові рахунки в установах банку. </w:t>
      </w:r>
      <w:r w:rsidRPr="008303BA">
        <w:rPr>
          <w:rFonts w:ascii="Times New Roman" w:hAnsi="Times New Roman"/>
          <w:sz w:val="26"/>
          <w:szCs w:val="26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програм у сфері охорони здоров’я.</w:t>
      </w:r>
    </w:p>
    <w:p w:rsidR="001E625A" w:rsidRPr="008303BA" w:rsidRDefault="0055520D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 розроблена на підставі Закону України «Про військово-цивільні адміністрації» від 03.02.2015 №141-VIII, Законів України «Основи законодавства України про охорону здоров'я» від 19.11.1992 № 2801-XII, «Про державні фінансові гарантії медичного обслуговування населення» від 19.10.2017 № 2168-VIII, Бюджетним кодексом України від 08.07.2010 №2456-VІ, розпорядженням КМУ «Про схвалення Концепції реформи фінансування системи охорони здоров’я» від 30.11.2016 № 1013-р та інших нормативно-правових актів.</w:t>
      </w:r>
    </w:p>
    <w:p w:rsidR="00A54BD0" w:rsidRPr="008303BA" w:rsidRDefault="00A54BD0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>спеціалізованої вторинної медичної допомоги, а саме</w:t>
      </w:r>
      <w:r w:rsidR="001E625A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стоматологічної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8303BA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8303BA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8303BA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8303BA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8303BA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8303BA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376D60" w:rsidRPr="008303BA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8303BA" w:rsidRDefault="00376D6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8303BA" w:rsidRDefault="00446507" w:rsidP="00446507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Pr="008303BA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Програма, шляхи та способи їх розв’язання</w:t>
      </w:r>
    </w:p>
    <w:p w:rsidR="007C30FB" w:rsidRPr="008303BA" w:rsidRDefault="00446507" w:rsidP="00376D6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Стоматологічне здоров’я населення починається з профілактики захворювань порожнини рота та формування у людини здорового образу життя.</w:t>
      </w:r>
    </w:p>
    <w:p w:rsidR="00446507" w:rsidRPr="008303BA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Існуючі проблеми в стоматологічній галузі торкаються не тільки взаємовідносин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446507" w:rsidRPr="008303BA" w:rsidRDefault="00446507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Реформи, які проводяться у сфері охорони здоров’я, торкають і стоматологічну поліклініку м. Лисичанськ. Насамперед потрібно значно підняти рівень матеріально-технічного оснащення лікувального та діагностичного процесу, забезпечити сучасними стоматологічними матеріалами та обладна</w:t>
      </w:r>
      <w:r w:rsidR="007C30FB" w:rsidRPr="008303BA">
        <w:rPr>
          <w:rFonts w:ascii="Times New Roman" w:hAnsi="Times New Roman"/>
          <w:sz w:val="26"/>
          <w:szCs w:val="26"/>
          <w:lang w:val="uk-UA"/>
        </w:rPr>
        <w:t xml:space="preserve">нням, створити істотні умови як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для медичного персоналу, так і для пацієнтів, впровадити сучасні інформаційно-технічні засоби для поліпшення надання стоматологічної допомоги населенню. </w:t>
      </w:r>
    </w:p>
    <w:p w:rsidR="008303BA" w:rsidRPr="008303BA" w:rsidRDefault="00446507" w:rsidP="008303BA">
      <w:pPr>
        <w:ind w:left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Основними шляхами розв’язання проблем є:</w:t>
      </w:r>
    </w:p>
    <w:p w:rsidR="008303BA" w:rsidRPr="008303BA" w:rsidRDefault="00446507" w:rsidP="008303BA">
      <w:pPr>
        <w:ind w:left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насамперед пріоритетний підхід до проблем дитячої стоматології;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найскоріший перехід до сучасних методів обробки інформації щодо діяльності стоматологічної поліклініки;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впровадження сучасних цифрових технологій в діагностичному лікувально-профілактичному процесі;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підвищення фаховості, кадрового забезпечення, рівня професіональної підготовки медичного персоналу стоматологічної поліклініки;</w:t>
      </w:r>
    </w:p>
    <w:p w:rsidR="008303BA" w:rsidRPr="008303BA" w:rsidRDefault="00376D60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 (преміювання, надання матеріальної допомоги на оздоровлення, виплата надбавок за складність та напруженість в роботі тощо);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шкільних учбових закладах;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щільне дотримання санітарно-гігієнічних та </w:t>
      </w:r>
      <w:proofErr w:type="spellStart"/>
      <w:r w:rsidRPr="008303BA">
        <w:rPr>
          <w:sz w:val="26"/>
          <w:szCs w:val="26"/>
          <w:lang w:val="uk-UA"/>
        </w:rPr>
        <w:t>противоепідемічних</w:t>
      </w:r>
      <w:proofErr w:type="spellEnd"/>
      <w:r w:rsidRPr="008303BA">
        <w:rPr>
          <w:sz w:val="26"/>
          <w:szCs w:val="26"/>
          <w:lang w:val="uk-UA"/>
        </w:rPr>
        <w:t xml:space="preserve"> норм та правил;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соціального захисту працівників стоматологічної поліклініки;</w:t>
      </w:r>
    </w:p>
    <w:p w:rsidR="00446507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інформації.</w:t>
      </w:r>
    </w:p>
    <w:p w:rsidR="00A54BD0" w:rsidRPr="008303BA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8303BA" w:rsidRDefault="00446507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1E625A" w:rsidRPr="008303BA" w:rsidRDefault="001E625A" w:rsidP="001E625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Мета Програми полягає у досягненні максимального забезпечення медичних стоматологічних послуг та надання висококваліфікованої спеціалізованої стоматологічної допомоги, яка спрямована на збереження, поліпшення та відновлення здоров’я, консультативно-діагностичної допомоги хворим, включаючи широкий спектр профілактичних і лікувальних заходів. 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Відповідно до поставленої мети завданням діяльності є: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медичної практики;</w:t>
      </w:r>
    </w:p>
    <w:p w:rsidR="001E625A" w:rsidRPr="008303BA" w:rsidRDefault="001E625A" w:rsidP="008303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надання терапевтичної, хірургічної, </w:t>
      </w:r>
      <w:proofErr w:type="spellStart"/>
      <w:r w:rsidRPr="008303BA">
        <w:rPr>
          <w:sz w:val="26"/>
          <w:szCs w:val="26"/>
          <w:lang w:val="uk-UA"/>
        </w:rPr>
        <w:t>ортодонтичної</w:t>
      </w:r>
      <w:proofErr w:type="spellEnd"/>
      <w:r w:rsidRPr="008303BA">
        <w:rPr>
          <w:sz w:val="26"/>
          <w:szCs w:val="26"/>
          <w:lang w:val="uk-UA"/>
        </w:rPr>
        <w:t>, ортопедичної стоматологічної допомоги дорослому та дитячому населенню;</w:t>
      </w:r>
    </w:p>
    <w:p w:rsidR="00376D60" w:rsidRPr="008303BA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376D60" w:rsidRPr="008303BA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8303BA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екстреної стоматологічної допомоги, необхідної профілактики, діагностики та лікування зубів згідно чинного законодавства України;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впровадження в практику сучасних методів діагностики та лікування, застосування новітньої медичної техніки і медичного обладнання, лікарських засобів;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своєчасної госпіталізації хворих, які потребують стаціонарного лікування;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якісної експертизи тимчасової непрацездатності хворих, видача листків непрацездатності, направлення на МСЕК пацієнтів з ознаками стійкої втрати працездатності;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8303BA">
        <w:rPr>
          <w:sz w:val="26"/>
          <w:szCs w:val="26"/>
          <w:lang w:val="uk-UA"/>
        </w:rPr>
        <w:t>освітньо-роз’яснювальної</w:t>
      </w:r>
      <w:proofErr w:type="spellEnd"/>
      <w:r w:rsidRPr="008303BA">
        <w:rPr>
          <w:sz w:val="26"/>
          <w:szCs w:val="26"/>
          <w:lang w:val="uk-UA"/>
        </w:rPr>
        <w:t xml:space="preserve"> роботи серед населення, щодо формування здорового способу життя та здійснення заходів з профілактики стоматологічних захворювань;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пацієнтів до цих закладів в порядку, встановленому законодавством;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забезпечення права громадян на вільний вибір лікаря, у визначеному законодавством порядку;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закупівля, зберігання та використання ресурсів, необхідних для надання стоматологічних медичних послуг, зокрема медичних стоматологічних засобів, обладнання та інвентарю;</w:t>
      </w:r>
    </w:p>
    <w:p w:rsidR="001E625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забезпечення лікарів медичною інформаційною системою та під’єднанням до Інтернет-мережі, забезпечення можливості надання </w:t>
      </w:r>
      <w:proofErr w:type="spellStart"/>
      <w:r w:rsidRPr="008303BA">
        <w:rPr>
          <w:sz w:val="26"/>
          <w:szCs w:val="26"/>
          <w:lang w:val="uk-UA"/>
        </w:rPr>
        <w:t>телемедичних</w:t>
      </w:r>
      <w:proofErr w:type="spellEnd"/>
      <w:r w:rsidRPr="008303BA">
        <w:rPr>
          <w:sz w:val="26"/>
          <w:szCs w:val="26"/>
          <w:lang w:val="uk-UA"/>
        </w:rPr>
        <w:t xml:space="preserve"> послуг.</w:t>
      </w:r>
    </w:p>
    <w:p w:rsidR="00915347" w:rsidRPr="008303BA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8303BA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Реалізація завдань вимагає об’єднання зусиль </w:t>
      </w:r>
      <w:r w:rsidR="00C7205F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C7205F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C7205F">
        <w:rPr>
          <w:rFonts w:ascii="Times New Roman" w:hAnsi="Times New Roman"/>
          <w:sz w:val="26"/>
          <w:szCs w:val="26"/>
          <w:lang w:val="uk-UA"/>
        </w:rPr>
        <w:t xml:space="preserve"> району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 Луганської області, керівників підприємств, установ, організацій, що здійснюють діяльність на території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міст Лисичанська, </w:t>
      </w:r>
      <w:proofErr w:type="spellStart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 Привілля,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  шляхом реалізації наступних заходів: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підвищення мотивації праці медичних працівників, забезпечення виплати заробітної плати та нарахувань на неї в повному обсязі;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придбання предметів, матеріалів для потреб підприємства; </w:t>
      </w:r>
    </w:p>
    <w:p w:rsidR="00D9008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оплати послуг, в тому числі комунальних послуг та енергоносіїв; </w:t>
      </w:r>
    </w:p>
    <w:p w:rsidR="00376D60" w:rsidRPr="00816B0C" w:rsidRDefault="00376D60" w:rsidP="00816B0C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удосконалення матеріально-технічної бази підприємства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здоров’я, а саме оснащення структурних підрозділів закладу медичною апаратурою, обладнанням та інструментарієм відповідно до табеля оснащення.</w:t>
      </w:r>
    </w:p>
    <w:p w:rsidR="007C30FB" w:rsidRPr="008303BA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8303BA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8303BA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включено до мережі головного розпорядника бюджетних коштів відділу охорони здоров’я </w:t>
      </w:r>
      <w:r w:rsidR="00C7205F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C7205F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C7205F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Pr="008303BA">
        <w:rPr>
          <w:rFonts w:ascii="Times New Roman" w:hAnsi="Times New Roman"/>
          <w:sz w:val="26"/>
          <w:szCs w:val="26"/>
          <w:lang w:val="uk-UA"/>
        </w:rPr>
        <w:t>Луганської області та використовує виділені кошти згідно з планом використання.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Фінансова підтримка є безповоротною. Обсяги фінансування Програми шляхом нада</w:t>
      </w:r>
      <w:r w:rsidR="005946CE" w:rsidRPr="008303BA">
        <w:rPr>
          <w:rFonts w:ascii="Times New Roman" w:hAnsi="Times New Roman"/>
          <w:sz w:val="26"/>
          <w:szCs w:val="26"/>
          <w:lang w:val="uk-UA"/>
        </w:rPr>
        <w:t>ння фінансової підтримки на 2021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 рік наведені в планах заходів цієї Програми.</w:t>
      </w:r>
    </w:p>
    <w:p w:rsidR="00D9008A" w:rsidRPr="008303BA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Pr="008303BA" w:rsidRDefault="00D9008A" w:rsidP="00915347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8303BA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8303BA" w:rsidRPr="008303BA" w:rsidRDefault="00915347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Виконання заходів Програми сприятиме: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створенню сучасної, якісної, доступної системи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надання висококваліфікованої стоматологічної  допомоги;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446507" w:rsidRPr="008303BA">
        <w:rPr>
          <w:rFonts w:ascii="Times New Roman" w:hAnsi="Times New Roman"/>
          <w:sz w:val="26"/>
          <w:szCs w:val="26"/>
          <w:lang w:val="uk-UA"/>
        </w:rPr>
        <w:t xml:space="preserve"> вчасного та безперебійного стоматологічного обслуговування населення;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збільшенню доступності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стоматологічної  допомоги, що надається лікарями-стоматологами, до всіх верст населення;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запровадженню ефективної системи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багатоканального фінансування на стоматологічну допомогу;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покращенню якості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профілактики та лікування стоматологічних захворювань у дитячого населення міста;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досягненню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мети щодо збереження надання високоякісних стоматологічних послуг;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забезпеченню своєчасності розрахунків та недопущення виникнення заборгованості Підприємства, в тому числі боргу по заробітній платі;</w:t>
      </w:r>
    </w:p>
    <w:p w:rsidR="00376D60" w:rsidRPr="008303BA" w:rsidRDefault="00915347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покращенню матеріально-технічної бази підприємства шляхом забезпечення амбулаторних та стаціонарних підрозділів  закладу медичною апаратурою,  обладнанням та інструментарієм відповідно до табеля оснащення затвердженого Наказом Міністерства охорони здоров’я України від 02.03.2011 № 127 «Про затвердження Примірних табелів оснащення медичною технікою та виробами </w:t>
      </w:r>
    </w:p>
    <w:p w:rsidR="00376D60" w:rsidRPr="008303BA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376D60" w:rsidRPr="00816B0C" w:rsidRDefault="00376D60" w:rsidP="00816B0C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303BA" w:rsidRDefault="00915347" w:rsidP="008303B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медичного призначення центральної районної (районної) та центральної міської (міської) лікарень»;</w:t>
      </w:r>
    </w:p>
    <w:p w:rsidR="00915347" w:rsidRPr="008303BA" w:rsidRDefault="00915347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КНП.</w:t>
      </w:r>
    </w:p>
    <w:p w:rsidR="007C30FB" w:rsidRPr="00C7205F" w:rsidRDefault="007C30FB" w:rsidP="007C30FB">
      <w:pPr>
        <w:pStyle w:val="af2"/>
        <w:rPr>
          <w:rFonts w:ascii="Times New Roman" w:hAnsi="Times New Roman"/>
          <w:b/>
          <w:bCs/>
          <w:color w:val="000000"/>
          <w:lang w:val="uk-UA"/>
        </w:rPr>
      </w:pPr>
    </w:p>
    <w:p w:rsidR="00A54BD0" w:rsidRPr="008303BA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8303BA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Pr="008303BA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3B5609" w:rsidRPr="008303BA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>«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«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>Міська стоматологічна поліклініка</w:t>
      </w:r>
      <w:r w:rsidRPr="008303BA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 w:rsidRPr="008303BA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7205F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4A6C72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4A6C72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>Луганської області.</w:t>
      </w:r>
    </w:p>
    <w:p w:rsidR="00A54BD0" w:rsidRPr="008303BA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7205F">
        <w:rPr>
          <w:rFonts w:ascii="Times New Roman" w:hAnsi="Times New Roman"/>
          <w:sz w:val="26"/>
          <w:szCs w:val="26"/>
          <w:lang w:val="uk-UA"/>
        </w:rPr>
        <w:t>Лисичанської міської</w:t>
      </w:r>
      <w:r w:rsidR="00C7205F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4A6C72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4A6C72">
        <w:rPr>
          <w:rFonts w:ascii="Times New Roman" w:hAnsi="Times New Roman"/>
          <w:sz w:val="26"/>
          <w:szCs w:val="26"/>
          <w:lang w:val="uk-UA"/>
        </w:rPr>
        <w:t xml:space="preserve"> району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 xml:space="preserve"> Луганської області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8303BA">
        <w:rPr>
          <w:rFonts w:ascii="Times New Roman" w:hAnsi="Times New Roman"/>
          <w:sz w:val="26"/>
          <w:szCs w:val="26"/>
          <w:lang w:val="uk-UA"/>
        </w:rPr>
        <w:t>П</w:t>
      </w:r>
      <w:r w:rsidRPr="008303BA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8303BA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C7205F" w:rsidRDefault="003F048C" w:rsidP="00C7205F">
      <w:pPr>
        <w:pStyle w:val="af2"/>
        <w:rPr>
          <w:rFonts w:ascii="Times New Roman" w:hAnsi="Times New Roman"/>
          <w:color w:val="000000"/>
          <w:lang w:val="uk-UA"/>
        </w:rPr>
      </w:pPr>
    </w:p>
    <w:p w:rsidR="00A54BD0" w:rsidRPr="008303BA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8303BA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 w:rsidRPr="008303BA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8303BA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D9008A" w:rsidRPr="008303BA" w:rsidRDefault="00A54BD0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A6C72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4313E" w:rsidRPr="008303BA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4A6C72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4A6C72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4A6C72">
        <w:rPr>
          <w:rFonts w:ascii="Times New Roman" w:hAnsi="Times New Roman"/>
          <w:sz w:val="26"/>
          <w:szCs w:val="26"/>
          <w:lang w:val="uk-UA"/>
        </w:rPr>
        <w:t xml:space="preserve"> району</w:t>
      </w:r>
      <w:r w:rsidR="00D4313E" w:rsidRPr="008303BA">
        <w:rPr>
          <w:rFonts w:ascii="Times New Roman" w:hAnsi="Times New Roman"/>
          <w:sz w:val="26"/>
          <w:szCs w:val="26"/>
          <w:lang w:val="uk-UA"/>
        </w:rPr>
        <w:t xml:space="preserve"> Луганської області </w:t>
      </w:r>
      <w:r w:rsidRPr="008303BA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8303BA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8303BA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137"/>
        <w:gridCol w:w="1728"/>
      </w:tblGrid>
      <w:tr w:rsidR="00E60BFA" w:rsidRPr="008303BA" w:rsidTr="007645DE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D73600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="00E60BFA"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8303BA" w:rsidTr="00C7205F">
        <w:trPr>
          <w:trHeight w:val="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7C30FB" w:rsidP="00BE44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E60BFA" w:rsidP="00376D6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5946CE" w:rsidP="004C23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7C30FB" w:rsidP="007C30F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E60BFA" w:rsidP="00E60BFA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7C30FB"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,000</w:t>
            </w:r>
          </w:p>
        </w:tc>
      </w:tr>
    </w:tbl>
    <w:p w:rsidR="00376D60" w:rsidRPr="008303BA" w:rsidRDefault="007C30FB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2A659B" w:rsidRPr="008303BA" w:rsidRDefault="002A659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10535" w:type="dxa"/>
        <w:tblInd w:w="-726" w:type="dxa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863"/>
        <w:gridCol w:w="1734"/>
      </w:tblGrid>
      <w:tr w:rsidR="002A659B" w:rsidRPr="008303BA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2A659B" w:rsidRPr="008303BA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DC01C2" w:rsidP="006930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76-VIII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A659B" w:rsidRPr="008303BA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4A6C72" w:rsidP="002A659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764,959</w:t>
            </w:r>
          </w:p>
        </w:tc>
      </w:tr>
      <w:tr w:rsidR="002A659B" w:rsidRPr="008303BA" w:rsidTr="007645DE">
        <w:trPr>
          <w:trHeight w:val="7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</w:tr>
      <w:tr w:rsidR="00DC01C2" w:rsidRPr="008303BA" w:rsidTr="00BD377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4A6C7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463,971</w:t>
            </w:r>
          </w:p>
        </w:tc>
      </w:tr>
      <w:tr w:rsidR="00DC01C2" w:rsidRPr="008303BA" w:rsidTr="00BD377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4A6C7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</w:t>
            </w:r>
            <w:r w:rsidR="00DC01C2" w:rsidRPr="008303B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</w:p>
        </w:tc>
      </w:tr>
      <w:tr w:rsidR="00DC01C2" w:rsidRPr="008303BA" w:rsidTr="001B2FD1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4A6C7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C01C2" w:rsidRPr="008303B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1,747</w:t>
            </w:r>
          </w:p>
        </w:tc>
      </w:tr>
      <w:tr w:rsidR="00DC01C2" w:rsidRPr="008303BA" w:rsidTr="00BA5196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4,869</w:t>
            </w:r>
          </w:p>
        </w:tc>
      </w:tr>
      <w:tr w:rsidR="00DC01C2" w:rsidRPr="008303BA" w:rsidTr="007A0EE6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16,067</w:t>
            </w:r>
          </w:p>
        </w:tc>
      </w:tr>
      <w:tr w:rsidR="002A659B" w:rsidRPr="008303BA" w:rsidTr="00DC01C2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8303BA" w:rsidP="002A659B">
            <w:pPr>
              <w:pStyle w:val="af2"/>
              <w:ind w:left="-87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45,792</w:t>
            </w:r>
          </w:p>
        </w:tc>
      </w:tr>
      <w:tr w:rsidR="00D73600" w:rsidRPr="008303BA" w:rsidTr="00DC01C2">
        <w:trPr>
          <w:trHeight w:val="70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8303BA" w:rsidRDefault="00D73600" w:rsidP="00E94EF8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8303BA" w:rsidRDefault="004A6C72" w:rsidP="00E94EF8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1 010,751</w:t>
            </w:r>
          </w:p>
        </w:tc>
      </w:tr>
    </w:tbl>
    <w:p w:rsidR="00A83E0B" w:rsidRPr="008303BA" w:rsidRDefault="00A83E0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303BA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FE7F50" w:rsidRPr="00C523E7" w:rsidRDefault="00FE7F50" w:rsidP="00FE7F50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6F217D" wp14:editId="1A648C08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640C44" id="Прямая соединительная линия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>
        <w:rPr>
          <w:b/>
        </w:rPr>
        <w:t>В.о. н</w:t>
      </w:r>
      <w:r w:rsidRPr="00C523E7">
        <w:rPr>
          <w:b/>
        </w:rPr>
        <w:t>ачальник</w:t>
      </w:r>
      <w:r>
        <w:rPr>
          <w:b/>
        </w:rPr>
        <w:t>а</w:t>
      </w:r>
      <w:r w:rsidRPr="00C523E7">
        <w:rPr>
          <w:b/>
        </w:rPr>
        <w:t xml:space="preserve"> відділ</w:t>
      </w:r>
      <w:r w:rsidR="00816B0C">
        <w:rPr>
          <w:b/>
        </w:rPr>
        <w:t xml:space="preserve">у охорони здоров’я         </w:t>
      </w:r>
      <w:bookmarkStart w:id="0" w:name="_GoBack"/>
      <w:bookmarkEnd w:id="0"/>
      <w:r>
        <w:rPr>
          <w:b/>
        </w:rPr>
        <w:t xml:space="preserve"> Алевтина УСТИМЕНКО</w:t>
      </w:r>
    </w:p>
    <w:p w:rsidR="00FE7F50" w:rsidRPr="00C523E7" w:rsidRDefault="00FE7F50" w:rsidP="00FE7F50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5CDDA9" wp14:editId="6BB04C32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F665FA" id="Прямая соединительная линия 2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681605" wp14:editId="6521A165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B59FB9" id="Прямая соединительная линия 1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Pr="00C523E7">
        <w:rPr>
          <w:sz w:val="18"/>
          <w:szCs w:val="18"/>
        </w:rPr>
        <w:t>(підпис)</w:t>
      </w:r>
      <w:r w:rsidRPr="00C523E7">
        <w:rPr>
          <w:sz w:val="18"/>
          <w:szCs w:val="18"/>
        </w:rPr>
        <w:tab/>
        <w:t xml:space="preserve">             (власне ім’я та прізвище)</w:t>
      </w:r>
    </w:p>
    <w:p w:rsidR="008303BA" w:rsidRPr="00DA1777" w:rsidRDefault="00FE7F50" w:rsidP="00FE7F50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7645DE" w:rsidRPr="008303BA" w:rsidRDefault="007645DE" w:rsidP="007645DE">
      <w:pPr>
        <w:ind w:left="4248" w:firstLine="708"/>
        <w:rPr>
          <w:sz w:val="28"/>
          <w:szCs w:val="28"/>
          <w:lang w:val="uk-UA" w:eastAsia="uk-UA"/>
        </w:rPr>
      </w:pPr>
    </w:p>
    <w:p w:rsidR="00DC01C2" w:rsidRPr="008303BA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Pr="008303BA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Pr="008303BA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Pr="008303BA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Pr="008303BA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E7F50" w:rsidRPr="008303BA" w:rsidRDefault="00FE7F50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sectPr w:rsidR="00FE7F50" w:rsidRPr="008303BA" w:rsidSect="004A6C72">
      <w:headerReference w:type="defaul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DB" w:rsidRDefault="004D58DB" w:rsidP="006F1556">
      <w:r>
        <w:separator/>
      </w:r>
    </w:p>
  </w:endnote>
  <w:endnote w:type="continuationSeparator" w:id="0">
    <w:p w:rsidR="004D58DB" w:rsidRDefault="004D58D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DB" w:rsidRDefault="004D58DB" w:rsidP="006F1556">
      <w:r>
        <w:separator/>
      </w:r>
    </w:p>
  </w:footnote>
  <w:footnote w:type="continuationSeparator" w:id="0">
    <w:p w:rsidR="004D58DB" w:rsidRDefault="004D58D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7A9"/>
    <w:rsid w:val="00014CF1"/>
    <w:rsid w:val="00016E3B"/>
    <w:rsid w:val="00024C86"/>
    <w:rsid w:val="000320E7"/>
    <w:rsid w:val="00041BCE"/>
    <w:rsid w:val="00042F1D"/>
    <w:rsid w:val="000559C4"/>
    <w:rsid w:val="00057132"/>
    <w:rsid w:val="00060682"/>
    <w:rsid w:val="000775A5"/>
    <w:rsid w:val="000844C0"/>
    <w:rsid w:val="00086CD9"/>
    <w:rsid w:val="000B158A"/>
    <w:rsid w:val="000C47B1"/>
    <w:rsid w:val="000C5C80"/>
    <w:rsid w:val="000C6601"/>
    <w:rsid w:val="000D0690"/>
    <w:rsid w:val="000F5091"/>
    <w:rsid w:val="0011419B"/>
    <w:rsid w:val="00117108"/>
    <w:rsid w:val="00120FEC"/>
    <w:rsid w:val="0012646C"/>
    <w:rsid w:val="00130E34"/>
    <w:rsid w:val="00137A92"/>
    <w:rsid w:val="0014285D"/>
    <w:rsid w:val="0014757A"/>
    <w:rsid w:val="001523B4"/>
    <w:rsid w:val="00153067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D6D64"/>
    <w:rsid w:val="001E03E8"/>
    <w:rsid w:val="001E092D"/>
    <w:rsid w:val="001E4B8E"/>
    <w:rsid w:val="001E625A"/>
    <w:rsid w:val="001F49E6"/>
    <w:rsid w:val="00201E26"/>
    <w:rsid w:val="0021007A"/>
    <w:rsid w:val="00221EE6"/>
    <w:rsid w:val="00237066"/>
    <w:rsid w:val="00245896"/>
    <w:rsid w:val="0026349C"/>
    <w:rsid w:val="00264166"/>
    <w:rsid w:val="002670E5"/>
    <w:rsid w:val="002734F7"/>
    <w:rsid w:val="0027536E"/>
    <w:rsid w:val="00277893"/>
    <w:rsid w:val="00282981"/>
    <w:rsid w:val="00294037"/>
    <w:rsid w:val="00297609"/>
    <w:rsid w:val="002A480F"/>
    <w:rsid w:val="002A659B"/>
    <w:rsid w:val="002B6D1A"/>
    <w:rsid w:val="002D2EC5"/>
    <w:rsid w:val="002D4AA4"/>
    <w:rsid w:val="002D51B5"/>
    <w:rsid w:val="002E6BC7"/>
    <w:rsid w:val="002E706B"/>
    <w:rsid w:val="0031257A"/>
    <w:rsid w:val="003157D2"/>
    <w:rsid w:val="00324E28"/>
    <w:rsid w:val="003421AE"/>
    <w:rsid w:val="003445AF"/>
    <w:rsid w:val="00350C95"/>
    <w:rsid w:val="00360945"/>
    <w:rsid w:val="00376D60"/>
    <w:rsid w:val="003841DB"/>
    <w:rsid w:val="00384F81"/>
    <w:rsid w:val="00391C59"/>
    <w:rsid w:val="003A073D"/>
    <w:rsid w:val="003B1E5D"/>
    <w:rsid w:val="003B5609"/>
    <w:rsid w:val="003B66A6"/>
    <w:rsid w:val="003C1268"/>
    <w:rsid w:val="003C318A"/>
    <w:rsid w:val="003C4555"/>
    <w:rsid w:val="003D0AE1"/>
    <w:rsid w:val="003D40D1"/>
    <w:rsid w:val="003D5443"/>
    <w:rsid w:val="003E1C1E"/>
    <w:rsid w:val="003F048C"/>
    <w:rsid w:val="0040155D"/>
    <w:rsid w:val="0041570C"/>
    <w:rsid w:val="0042147E"/>
    <w:rsid w:val="004236E3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A6C72"/>
    <w:rsid w:val="004C23AC"/>
    <w:rsid w:val="004C435B"/>
    <w:rsid w:val="004C4D9D"/>
    <w:rsid w:val="004D1C6B"/>
    <w:rsid w:val="004D431C"/>
    <w:rsid w:val="004D58DB"/>
    <w:rsid w:val="004E6A6F"/>
    <w:rsid w:val="005232BF"/>
    <w:rsid w:val="00541E13"/>
    <w:rsid w:val="0054364E"/>
    <w:rsid w:val="0055520D"/>
    <w:rsid w:val="005946CE"/>
    <w:rsid w:val="005A4F95"/>
    <w:rsid w:val="005A7025"/>
    <w:rsid w:val="005C6590"/>
    <w:rsid w:val="005C6DE5"/>
    <w:rsid w:val="005E6130"/>
    <w:rsid w:val="0060594B"/>
    <w:rsid w:val="00620D9C"/>
    <w:rsid w:val="00631EBD"/>
    <w:rsid w:val="006344D2"/>
    <w:rsid w:val="00645527"/>
    <w:rsid w:val="00650DE9"/>
    <w:rsid w:val="00655C99"/>
    <w:rsid w:val="00667CE8"/>
    <w:rsid w:val="006C32BC"/>
    <w:rsid w:val="006E1F5E"/>
    <w:rsid w:val="006E7865"/>
    <w:rsid w:val="006E7F90"/>
    <w:rsid w:val="006F1556"/>
    <w:rsid w:val="00706123"/>
    <w:rsid w:val="00710D80"/>
    <w:rsid w:val="00722337"/>
    <w:rsid w:val="0073059A"/>
    <w:rsid w:val="00740644"/>
    <w:rsid w:val="00740CBF"/>
    <w:rsid w:val="0074431A"/>
    <w:rsid w:val="007514D5"/>
    <w:rsid w:val="007518F0"/>
    <w:rsid w:val="00760FB9"/>
    <w:rsid w:val="00762FEE"/>
    <w:rsid w:val="007645DE"/>
    <w:rsid w:val="0077376C"/>
    <w:rsid w:val="00775059"/>
    <w:rsid w:val="00782DB2"/>
    <w:rsid w:val="00793218"/>
    <w:rsid w:val="0079417C"/>
    <w:rsid w:val="007C30FB"/>
    <w:rsid w:val="007D38A0"/>
    <w:rsid w:val="007E796D"/>
    <w:rsid w:val="007F618D"/>
    <w:rsid w:val="0080381C"/>
    <w:rsid w:val="008051DE"/>
    <w:rsid w:val="00816B0C"/>
    <w:rsid w:val="00822F9F"/>
    <w:rsid w:val="00824EB0"/>
    <w:rsid w:val="008303BA"/>
    <w:rsid w:val="008330BA"/>
    <w:rsid w:val="00840A7D"/>
    <w:rsid w:val="00861826"/>
    <w:rsid w:val="00864B53"/>
    <w:rsid w:val="00865505"/>
    <w:rsid w:val="00871755"/>
    <w:rsid w:val="00871C02"/>
    <w:rsid w:val="00887FF8"/>
    <w:rsid w:val="0089063B"/>
    <w:rsid w:val="008A0D01"/>
    <w:rsid w:val="008A2026"/>
    <w:rsid w:val="008C0234"/>
    <w:rsid w:val="008C0E6F"/>
    <w:rsid w:val="008C5AA2"/>
    <w:rsid w:val="008C750F"/>
    <w:rsid w:val="008D1E8D"/>
    <w:rsid w:val="008D73E2"/>
    <w:rsid w:val="008F4F19"/>
    <w:rsid w:val="008F77E2"/>
    <w:rsid w:val="00904DBE"/>
    <w:rsid w:val="00915347"/>
    <w:rsid w:val="0091639E"/>
    <w:rsid w:val="009173AB"/>
    <w:rsid w:val="0094119B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43EC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83E0B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60BD2"/>
    <w:rsid w:val="00B6451B"/>
    <w:rsid w:val="00B64A24"/>
    <w:rsid w:val="00B65E92"/>
    <w:rsid w:val="00B67165"/>
    <w:rsid w:val="00B753D9"/>
    <w:rsid w:val="00B85548"/>
    <w:rsid w:val="00B879E1"/>
    <w:rsid w:val="00B92F9C"/>
    <w:rsid w:val="00B95850"/>
    <w:rsid w:val="00BA66DA"/>
    <w:rsid w:val="00BB0C28"/>
    <w:rsid w:val="00BE1F00"/>
    <w:rsid w:val="00BE2A41"/>
    <w:rsid w:val="00BE4406"/>
    <w:rsid w:val="00BE73E3"/>
    <w:rsid w:val="00BF1073"/>
    <w:rsid w:val="00BF3489"/>
    <w:rsid w:val="00BF5C42"/>
    <w:rsid w:val="00C07B6D"/>
    <w:rsid w:val="00C129AF"/>
    <w:rsid w:val="00C20364"/>
    <w:rsid w:val="00C22F8A"/>
    <w:rsid w:val="00C317AA"/>
    <w:rsid w:val="00C34E48"/>
    <w:rsid w:val="00C51AF4"/>
    <w:rsid w:val="00C57444"/>
    <w:rsid w:val="00C60DFD"/>
    <w:rsid w:val="00C617D1"/>
    <w:rsid w:val="00C7205F"/>
    <w:rsid w:val="00C82260"/>
    <w:rsid w:val="00C93C94"/>
    <w:rsid w:val="00CB280F"/>
    <w:rsid w:val="00CB7148"/>
    <w:rsid w:val="00CB747E"/>
    <w:rsid w:val="00CD457E"/>
    <w:rsid w:val="00CE1ACF"/>
    <w:rsid w:val="00CE4FF0"/>
    <w:rsid w:val="00CF375A"/>
    <w:rsid w:val="00CF6835"/>
    <w:rsid w:val="00D02E39"/>
    <w:rsid w:val="00D12956"/>
    <w:rsid w:val="00D35638"/>
    <w:rsid w:val="00D4313E"/>
    <w:rsid w:val="00D465D4"/>
    <w:rsid w:val="00D546D2"/>
    <w:rsid w:val="00D5708F"/>
    <w:rsid w:val="00D65C1E"/>
    <w:rsid w:val="00D722C6"/>
    <w:rsid w:val="00D73600"/>
    <w:rsid w:val="00D750C1"/>
    <w:rsid w:val="00D760EB"/>
    <w:rsid w:val="00D76189"/>
    <w:rsid w:val="00D82BD7"/>
    <w:rsid w:val="00D83AE2"/>
    <w:rsid w:val="00D9008A"/>
    <w:rsid w:val="00DA1AB0"/>
    <w:rsid w:val="00DA6EA9"/>
    <w:rsid w:val="00DC01C2"/>
    <w:rsid w:val="00DC01D2"/>
    <w:rsid w:val="00DC168B"/>
    <w:rsid w:val="00DC2F2B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60BFA"/>
    <w:rsid w:val="00E710DA"/>
    <w:rsid w:val="00E732EF"/>
    <w:rsid w:val="00E7646D"/>
    <w:rsid w:val="00E96861"/>
    <w:rsid w:val="00EB2A72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65823"/>
    <w:rsid w:val="00F71F96"/>
    <w:rsid w:val="00F740E2"/>
    <w:rsid w:val="00F848F2"/>
    <w:rsid w:val="00F909D1"/>
    <w:rsid w:val="00F91691"/>
    <w:rsid w:val="00FB2D99"/>
    <w:rsid w:val="00FC0B06"/>
    <w:rsid w:val="00FC2F40"/>
    <w:rsid w:val="00FD04F5"/>
    <w:rsid w:val="00FD2C7A"/>
    <w:rsid w:val="00FE1024"/>
    <w:rsid w:val="00FE1D3F"/>
    <w:rsid w:val="00FE7F50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B403-75B1-4589-8A71-C73DB575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10</cp:revision>
  <cp:lastPrinted>2021-07-08T12:08:00Z</cp:lastPrinted>
  <dcterms:created xsi:type="dcterms:W3CDTF">2021-07-08T10:53:00Z</dcterms:created>
  <dcterms:modified xsi:type="dcterms:W3CDTF">2021-07-12T07:42:00Z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