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B31EFA" w:rsidRDefault="00934617" w:rsidP="00A54BD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02.09.2021</w:t>
      </w:r>
      <w:r w:rsidR="006B2876">
        <w:rPr>
          <w:rFonts w:ascii="Times New Roman" w:hAnsi="Times New Roman"/>
          <w:sz w:val="28"/>
          <w:szCs w:val="28"/>
          <w:lang w:val="en-US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31EFA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EFA">
        <w:rPr>
          <w:rFonts w:ascii="Times New Roman" w:hAnsi="Times New Roman"/>
          <w:sz w:val="28"/>
          <w:szCs w:val="28"/>
        </w:rPr>
        <w:t>980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1D1686" w:rsidRPr="00044230" w:rsidRDefault="001D1686" w:rsidP="001D1686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4B45D7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Програми розвитку </w:t>
      </w:r>
    </w:p>
    <w:p w:rsidR="001D1686" w:rsidRPr="00044230" w:rsidRDefault="001D1686" w:rsidP="001D1686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та фінансової підтримки КНП «Лисичанська </w:t>
      </w:r>
    </w:p>
    <w:p w:rsidR="00940FDF" w:rsidRPr="00C523E7" w:rsidRDefault="001D1686" w:rsidP="001D1686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багатопрофільна лікарня» на </w:t>
      </w:r>
      <w:r>
        <w:rPr>
          <w:rFonts w:ascii="Times New Roman" w:hAnsi="Times New Roman"/>
          <w:b/>
          <w:sz w:val="28"/>
          <w:szCs w:val="28"/>
          <w:lang w:val="uk-UA"/>
        </w:rPr>
        <w:t>2022</w:t>
      </w:r>
      <w:r w:rsidRPr="0004423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 w:rsidR="004B45D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C5AA2" w:rsidRPr="001D1686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</w:t>
      </w:r>
      <w:r w:rsidR="00564741">
        <w:rPr>
          <w:rFonts w:ascii="Times New Roman" w:hAnsi="Times New Roman"/>
          <w:sz w:val="28"/>
          <w:szCs w:val="28"/>
          <w:lang w:val="uk-UA"/>
        </w:rPr>
        <w:t xml:space="preserve"> на території Лисичанської міської територіальної громади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</w:t>
      </w:r>
      <w:r w:rsidR="00AF69B1">
        <w:rPr>
          <w:rFonts w:ascii="Times New Roman" w:hAnsi="Times New Roman"/>
          <w:sz w:val="28"/>
          <w:szCs w:val="28"/>
          <w:lang w:val="uk-UA"/>
        </w:rPr>
        <w:t>ункту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AF69B1">
        <w:rPr>
          <w:rFonts w:ascii="Times New Roman" w:hAnsi="Times New Roman"/>
          <w:sz w:val="28"/>
          <w:szCs w:val="28"/>
          <w:lang w:val="uk-UA"/>
        </w:rPr>
        <w:t>частини першої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1D1686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1D1686" w:rsidRDefault="00A54BD0" w:rsidP="00B5314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1D1686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 xml:space="preserve">Затвердити «Програму розвитку та фінансової підтримки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КНП «Лисичанська багатопрофільна лікарня на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 рік» (Додаток).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1D1686" w:rsidRDefault="00A0454C" w:rsidP="00A0454C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686" w:rsidRPr="00C523E7" w:rsidRDefault="001D1686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6B2876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B2876" w:rsidRPr="006B2876">
        <w:rPr>
          <w:rFonts w:ascii="Times New Roman" w:hAnsi="Times New Roman"/>
          <w:sz w:val="26"/>
          <w:szCs w:val="26"/>
          <w:lang w:val="uk-UA"/>
        </w:rPr>
        <w:t>02.09.</w:t>
      </w:r>
      <w:r w:rsidR="006B2876" w:rsidRPr="00B31EFA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B2876" w:rsidRPr="006B2876">
        <w:rPr>
          <w:rFonts w:ascii="Times New Roman" w:hAnsi="Times New Roman"/>
          <w:sz w:val="26"/>
          <w:szCs w:val="26"/>
          <w:lang w:val="uk-UA"/>
        </w:rPr>
        <w:t>980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b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B31EFA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B31EFA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1D1686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1D16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B31EFA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  <w:r w:rsidR="001D168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1D1686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1D1686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15 106 154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D1686" w:rsidRPr="00B31EFA" w:rsidRDefault="00A54BD0" w:rsidP="00BE021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1D168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BE021D" w:rsidRPr="00B31EFA" w:rsidRDefault="00BE021D" w:rsidP="00BE021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D1686" w:rsidRPr="00B31EFA" w:rsidRDefault="001D1686" w:rsidP="00BE021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C523E7" w:rsidRDefault="00A54BD0" w:rsidP="001D1686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Бюджетного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кодексу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D1686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D1686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950F20" w:rsidRPr="00BE021D" w:rsidRDefault="00A54BD0" w:rsidP="00BE021D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 xml:space="preserve">боку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B45D7" w:rsidRDefault="00A54BD0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4B45D7" w:rsidRPr="004B45D7" w:rsidRDefault="004B45D7" w:rsidP="004B45D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B45D7" w:rsidRDefault="004B45D7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5D7" w:rsidRDefault="004B45D7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оплата</w:t>
      </w:r>
      <w:r w:rsidRPr="00C523E7">
        <w:rPr>
          <w:rFonts w:ascii="Times New Roman" w:hAnsi="Times New Roman"/>
          <w:sz w:val="26"/>
          <w:szCs w:val="26"/>
          <w:lang w:val="uk-UA"/>
        </w:rPr>
        <w:t xml:space="preserve"> послуг, в тому числі комунальних послуг та </w:t>
      </w:r>
      <w:r>
        <w:rPr>
          <w:rFonts w:ascii="Times New Roman" w:hAnsi="Times New Roman"/>
          <w:sz w:val="26"/>
          <w:szCs w:val="26"/>
          <w:lang w:val="uk-UA"/>
        </w:rPr>
        <w:t>енергоносіїв.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Лисичанської міської територіальної громади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році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302897" w:rsidRPr="004B45D7" w:rsidRDefault="00650DE9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4B45D7" w:rsidRPr="004B45D7" w:rsidRDefault="004B45D7" w:rsidP="008B60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на 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69B1">
        <w:rPr>
          <w:rFonts w:ascii="Times New Roman" w:hAnsi="Times New Roman"/>
          <w:sz w:val="26"/>
          <w:szCs w:val="26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4B45D7" w:rsidRDefault="003F048C" w:rsidP="004B45D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B45D7">
        <w:rPr>
          <w:rFonts w:ascii="Times New Roman" w:hAnsi="Times New Roman"/>
          <w:sz w:val="26"/>
          <w:szCs w:val="26"/>
          <w:lang w:val="uk-UA"/>
        </w:rPr>
        <w:t xml:space="preserve"> по оплаті послуг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Default="00A54BD0" w:rsidP="00A51D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4B45D7" w:rsidRDefault="004B45D7" w:rsidP="00A51D6E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04FF8" w:rsidRPr="004B45D7" w:rsidRDefault="004B45D7" w:rsidP="004B45D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4B45D7" w:rsidRDefault="004B45D7" w:rsidP="002F4958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45D7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46AE5">
        <w:rPr>
          <w:rFonts w:ascii="Times New Roman" w:hAnsi="Times New Roman"/>
          <w:sz w:val="26"/>
          <w:szCs w:val="26"/>
          <w:lang w:val="uk-UA"/>
        </w:rPr>
        <w:t>2022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Pr="002F4958" w:rsidRDefault="00302897" w:rsidP="00046AE5">
      <w:pPr>
        <w:jc w:val="both"/>
        <w:rPr>
          <w:color w:val="808080" w:themeColor="background1" w:themeShade="80"/>
          <w:sz w:val="26"/>
          <w:szCs w:val="26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044230" w:rsidRPr="00C523E7" w:rsidTr="008B601C">
        <w:trPr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8B601C">
        <w:trPr>
          <w:trHeight w:val="189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1 088,55</w:t>
            </w:r>
            <w:r w:rsidR="00A9502F"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046AE5" w:rsidRPr="00C523E7" w:rsidTr="008B601C">
        <w:trPr>
          <w:trHeight w:val="30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6AE5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8B601C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303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Pr="00AA6E62" w:rsidRDefault="00046AE5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6AE5" w:rsidRDefault="00046AE5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212,400</w:t>
            </w:r>
          </w:p>
        </w:tc>
      </w:tr>
    </w:tbl>
    <w:p w:rsidR="00AC07F7" w:rsidRDefault="00AC07F7" w:rsidP="00BE021D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b/>
        </w:rPr>
      </w:pPr>
      <w:r w:rsidRPr="00C523E7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AC07F7" w:rsidRPr="002F4958" w:rsidRDefault="00AC07F7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6"/>
          <w:szCs w:val="26"/>
        </w:rPr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AC07F7" w:rsidRPr="00AA6E62" w:rsidTr="00AC07F7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AC07F7" w:rsidRPr="00AA6E62" w:rsidTr="00AC07F7">
        <w:trPr>
          <w:trHeight w:val="11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13 805,204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AC07F7" w:rsidRPr="00AA6E62" w:rsidTr="00AC07F7">
        <w:trPr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6 498,927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827,226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6 094,430</w:t>
            </w:r>
          </w:p>
        </w:tc>
      </w:tr>
      <w:tr w:rsidR="00AC07F7" w:rsidRPr="00AA6E62" w:rsidTr="00AC07F7">
        <w:trPr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43,903</w:t>
            </w:r>
          </w:p>
        </w:tc>
      </w:tr>
      <w:tr w:rsidR="00AC07F7" w:rsidRPr="00AA6E62" w:rsidTr="00AC07F7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340,718</w:t>
            </w:r>
          </w:p>
        </w:tc>
      </w:tr>
      <w:tr w:rsidR="00AC07F7" w:rsidRPr="00AA6E62" w:rsidTr="00AC07F7">
        <w:trPr>
          <w:trHeight w:val="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F7" w:rsidRPr="00AA6E62" w:rsidRDefault="00AC07F7" w:rsidP="00AC07F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15 106,154</w:t>
            </w:r>
          </w:p>
        </w:tc>
      </w:tr>
    </w:tbl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635A0" w:rsidRPr="00D001A7" w:rsidRDefault="009635A0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9B73EE" w:rsidRDefault="009B73EE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AC07F7" w:rsidRDefault="00AC07F7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AC07F7" w:rsidRPr="00D001A7" w:rsidRDefault="00AC07F7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D001A7" w:rsidRDefault="00D001A7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F11A6A" w:rsidRPr="00B31EFA" w:rsidRDefault="00F11A6A" w:rsidP="00096E03">
      <w:pPr>
        <w:jc w:val="both"/>
      </w:pPr>
    </w:p>
    <w:sectPr w:rsidR="00F11A6A" w:rsidRPr="00B31EFA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CD" w:rsidRDefault="00A549CD" w:rsidP="006F1556">
      <w:r>
        <w:separator/>
      </w:r>
    </w:p>
  </w:endnote>
  <w:endnote w:type="continuationSeparator" w:id="0">
    <w:p w:rsidR="00A549CD" w:rsidRDefault="00A549C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CD" w:rsidRDefault="00A549CD" w:rsidP="006F1556">
      <w:r>
        <w:separator/>
      </w:r>
    </w:p>
  </w:footnote>
  <w:footnote w:type="continuationSeparator" w:id="0">
    <w:p w:rsidR="00A549CD" w:rsidRDefault="00A549C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32" w:rsidRDefault="00E45532" w:rsidP="00A41DE7">
    <w:pPr>
      <w:pStyle w:val="ac"/>
    </w:pPr>
  </w:p>
  <w:p w:rsidR="00E45532" w:rsidRDefault="00E4553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46AE5"/>
    <w:rsid w:val="00055222"/>
    <w:rsid w:val="000559C4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32AE"/>
    <w:rsid w:val="000C47B1"/>
    <w:rsid w:val="000C5C80"/>
    <w:rsid w:val="000C6601"/>
    <w:rsid w:val="000D0690"/>
    <w:rsid w:val="000D721B"/>
    <w:rsid w:val="000E3E6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75D75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1686"/>
    <w:rsid w:val="001D4D58"/>
    <w:rsid w:val="001D5AEF"/>
    <w:rsid w:val="001E03E8"/>
    <w:rsid w:val="001E092D"/>
    <w:rsid w:val="001E5965"/>
    <w:rsid w:val="001F1CF4"/>
    <w:rsid w:val="001F49E6"/>
    <w:rsid w:val="00201E26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536E"/>
    <w:rsid w:val="002774DA"/>
    <w:rsid w:val="00277893"/>
    <w:rsid w:val="00282981"/>
    <w:rsid w:val="00294037"/>
    <w:rsid w:val="00297609"/>
    <w:rsid w:val="002A480F"/>
    <w:rsid w:val="002A58A7"/>
    <w:rsid w:val="002A7C0A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2F4958"/>
    <w:rsid w:val="00302897"/>
    <w:rsid w:val="00307EAF"/>
    <w:rsid w:val="0031257A"/>
    <w:rsid w:val="003157D2"/>
    <w:rsid w:val="00324E28"/>
    <w:rsid w:val="003421AE"/>
    <w:rsid w:val="003445AF"/>
    <w:rsid w:val="00344CCC"/>
    <w:rsid w:val="00350C95"/>
    <w:rsid w:val="00351712"/>
    <w:rsid w:val="00355396"/>
    <w:rsid w:val="0036005E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B45D7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6140A"/>
    <w:rsid w:val="00562DD4"/>
    <w:rsid w:val="00564741"/>
    <w:rsid w:val="00583D56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50DE9"/>
    <w:rsid w:val="00653416"/>
    <w:rsid w:val="0066052C"/>
    <w:rsid w:val="00663FEA"/>
    <w:rsid w:val="00667CE8"/>
    <w:rsid w:val="00672F45"/>
    <w:rsid w:val="00674CB0"/>
    <w:rsid w:val="006855C0"/>
    <w:rsid w:val="006B2876"/>
    <w:rsid w:val="006C32BC"/>
    <w:rsid w:val="006E1F5E"/>
    <w:rsid w:val="006E7F90"/>
    <w:rsid w:val="006F1556"/>
    <w:rsid w:val="006F2500"/>
    <w:rsid w:val="006F37BD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17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B601C"/>
    <w:rsid w:val="008C0234"/>
    <w:rsid w:val="008C0E6F"/>
    <w:rsid w:val="008C5AA2"/>
    <w:rsid w:val="008C750F"/>
    <w:rsid w:val="008D1E8D"/>
    <w:rsid w:val="008D73E2"/>
    <w:rsid w:val="008E0E04"/>
    <w:rsid w:val="008E67CF"/>
    <w:rsid w:val="008E7190"/>
    <w:rsid w:val="008F77E2"/>
    <w:rsid w:val="00904DBE"/>
    <w:rsid w:val="0091639E"/>
    <w:rsid w:val="00934617"/>
    <w:rsid w:val="00940FDF"/>
    <w:rsid w:val="00947125"/>
    <w:rsid w:val="00950F20"/>
    <w:rsid w:val="0095158C"/>
    <w:rsid w:val="00956474"/>
    <w:rsid w:val="00957D4B"/>
    <w:rsid w:val="0096097F"/>
    <w:rsid w:val="009635A0"/>
    <w:rsid w:val="00963F36"/>
    <w:rsid w:val="0096518D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E6D77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9CD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A12C2"/>
    <w:rsid w:val="00AA6E62"/>
    <w:rsid w:val="00AB30DA"/>
    <w:rsid w:val="00AB5B0F"/>
    <w:rsid w:val="00AC07F7"/>
    <w:rsid w:val="00AC1F9B"/>
    <w:rsid w:val="00AC32C2"/>
    <w:rsid w:val="00AC6F08"/>
    <w:rsid w:val="00AD359D"/>
    <w:rsid w:val="00AF2A99"/>
    <w:rsid w:val="00AF3005"/>
    <w:rsid w:val="00AF366B"/>
    <w:rsid w:val="00AF40CB"/>
    <w:rsid w:val="00AF69B1"/>
    <w:rsid w:val="00B07737"/>
    <w:rsid w:val="00B108C9"/>
    <w:rsid w:val="00B12A9F"/>
    <w:rsid w:val="00B14F62"/>
    <w:rsid w:val="00B31EFA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06B0"/>
    <w:rsid w:val="00B9143D"/>
    <w:rsid w:val="00B92F9C"/>
    <w:rsid w:val="00B95850"/>
    <w:rsid w:val="00BA19C3"/>
    <w:rsid w:val="00BB0C28"/>
    <w:rsid w:val="00BE021D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86CA6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E1ACF"/>
    <w:rsid w:val="00CE4FF0"/>
    <w:rsid w:val="00CE78B2"/>
    <w:rsid w:val="00CE7F9D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3B8F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B7074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18AF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297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C680-7A63-4281-BAA5-AACAD9AE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38</cp:revision>
  <cp:lastPrinted>2021-09-03T11:12:00Z</cp:lastPrinted>
  <dcterms:created xsi:type="dcterms:W3CDTF">2021-05-12T13:43:00Z</dcterms:created>
  <dcterms:modified xsi:type="dcterms:W3CDTF">2021-09-06T07:09:00Z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