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F1" w:rsidRPr="00AF3759" w:rsidRDefault="00E502B0" w:rsidP="00F7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А</w:t>
      </w:r>
      <w:r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НАЛІЗ РЕГУЛЯТОРНОГО ВПЛИВУ</w:t>
      </w:r>
    </w:p>
    <w:p w:rsidR="00EC23F8" w:rsidRPr="00AF3759" w:rsidRDefault="00EC23F8" w:rsidP="00F7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003F1" w:rsidRPr="00AF3759" w:rsidRDefault="005003F1" w:rsidP="00D4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про</w:t>
      </w:r>
      <w:r w:rsidR="00A01AAD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є</w:t>
      </w:r>
      <w:r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кту розпорядження керівника</w:t>
      </w:r>
      <w:r w:rsidR="00ED678B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="007918C2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Лисичанської</w:t>
      </w:r>
      <w:r w:rsidR="00ED678B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міської  в</w:t>
      </w:r>
      <w:r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ійсько</w:t>
      </w:r>
      <w:r w:rsidR="00ED678B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во-цивільної адміністрації </w:t>
      </w:r>
      <w:r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Сєвєродонецьк</w:t>
      </w:r>
      <w:r w:rsidR="00ED678B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ого району</w:t>
      </w:r>
      <w:r w:rsidR="00A01AAD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Луганської області  </w:t>
      </w:r>
      <w:r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«</w:t>
      </w:r>
      <w:r w:rsidR="00F9637B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Про затвердження </w:t>
      </w:r>
      <w:r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Порядку </w:t>
      </w:r>
      <w:r w:rsidR="00F9637B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звільнення території від самовільно встановлених </w:t>
      </w:r>
      <w:r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тимчасових споруд, малих архітектурних форм та засобів пересувної мережі </w:t>
      </w:r>
      <w:r w:rsidR="00ED678B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="008734EB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у  </w:t>
      </w:r>
      <w:r w:rsidR="007918C2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Лисичанській </w:t>
      </w:r>
      <w:r w:rsidR="001051C2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міській </w:t>
      </w:r>
      <w:r w:rsidR="008734EB"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територіальній громаді</w:t>
      </w:r>
      <w:r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»</w:t>
      </w:r>
      <w:bookmarkStart w:id="0" w:name="_GoBack"/>
      <w:bookmarkEnd w:id="0"/>
    </w:p>
    <w:p w:rsidR="00FF2796" w:rsidRPr="00AF3759" w:rsidRDefault="005003F1" w:rsidP="00FF279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</w:t>
      </w: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Аналіз регуляторного впливу розроблено на виконання та з дотриманням вимог статті 8 Закону України від 11.09.2003 №1160-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en-US"/>
        </w:rPr>
        <w:t>IV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«Про засади державної регуляторної політики у сфері господарської діяльності» та з урахуванням Методики проведення аналізу впливу регуляторного акта, затвердженої Постановою Кабінету Міністрів України від 11.03.2004 № 308 (зі змінами, затвердженими Постанов</w:t>
      </w:r>
      <w:r w:rsidR="00AF3759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ою Кабінету Міністрів України </w:t>
      </w:r>
      <w:r w:rsidR="008C0CD5">
        <w:rPr>
          <w:rFonts w:ascii="Times New Roman" w:eastAsia="Times New Roman" w:hAnsi="Times New Roman" w:cs="Times New Roman"/>
          <w:sz w:val="27"/>
          <w:szCs w:val="27"/>
          <w:lang w:val="uk-UA"/>
        </w:rPr>
        <w:t>від 16.12.2015</w:t>
      </w:r>
      <w:r w:rsidR="00AF3759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№ 1151).</w:t>
      </w:r>
      <w:r w:rsidRPr="00AF3759">
        <w:rPr>
          <w:rFonts w:ascii="Times New Roman" w:eastAsia="Times New Roman" w:hAnsi="Times New Roman" w:cs="Times New Roman"/>
          <w:color w:val="FF0000"/>
          <w:sz w:val="27"/>
          <w:szCs w:val="27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Аналіз визначає правові та організаційні засади реалізації про</w:t>
      </w:r>
      <w:r w:rsidR="001051C2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є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кту вказаного регуляторного акта.</w:t>
      </w:r>
    </w:p>
    <w:p w:rsidR="00EC23F8" w:rsidRPr="00AF3759" w:rsidRDefault="00EC23F8" w:rsidP="00FF279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FF2796" w:rsidRPr="00AF3759" w:rsidRDefault="00FF2796" w:rsidP="00FF2796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</w:t>
      </w:r>
      <w:r w:rsidR="005003F1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1. Визначення проблеми</w:t>
      </w:r>
    </w:p>
    <w:p w:rsidR="0087338A" w:rsidRPr="00AF3759" w:rsidRDefault="00FF2796" w:rsidP="0087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Відповідно </w:t>
      </w:r>
      <w:r w:rsidR="0087338A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з вимогами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2.30 </w:t>
      </w:r>
      <w:proofErr w:type="spellStart"/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Порядк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proofErr w:type="spellEnd"/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</w:t>
      </w:r>
      <w:r w:rsidR="00CD2C4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(далі - Порядок)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87338A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тимчасова споруда для провадження підприємницької діяльності (далі – ТС) підлягає демонтажу 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у разі закінчення строку дії</w:t>
      </w:r>
      <w:r w:rsidR="0087338A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паспорту прив’язки ТС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анулювання </w:t>
      </w:r>
      <w:r w:rsidR="0087338A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паспорту ТС або 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самовільного встановлення </w:t>
      </w:r>
      <w:r w:rsidR="0087338A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такої ТС.</w:t>
      </w:r>
    </w:p>
    <w:p w:rsidR="00500FD3" w:rsidRPr="00AF3759" w:rsidRDefault="0087338A" w:rsidP="0087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CD2C4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Разом з тим, </w:t>
      </w:r>
      <w:r w:rsidR="007A386F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порядок, який регламентував би процедуру </w:t>
      </w:r>
      <w:r w:rsidR="001051C2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звільнення території (</w:t>
      </w:r>
      <w:r w:rsidR="007A386F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демонтажу ТС</w:t>
      </w:r>
      <w:r w:rsidR="003D036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)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від такої споруди </w:t>
      </w:r>
      <w:r w:rsidR="007A386F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відсутній. Дана проблема негативно впливає як на благоустрій міста Лисичанська, так і на  утримання в належному стані його території, архі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тектурний вигляд міста та його </w:t>
      </w:r>
      <w:r w:rsidR="007A386F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економічний розвиток в цілому, оскільки у випадках закінчення строку дії, анулювання паспортів прив’язк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и, самовільного встановлення ТС</w:t>
      </w:r>
      <w:r w:rsidR="007A386F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D8696F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зазначені  споруди власниками (</w:t>
      </w:r>
      <w:r w:rsidR="007A386F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користувачами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)</w:t>
      </w:r>
      <w:r w:rsidR="00D8696F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як правило не демонтуються, що порушує право територіальної громади міста на володіння, розпорядження та користування територією міста. </w:t>
      </w:r>
    </w:p>
    <w:p w:rsidR="00CD2C48" w:rsidRPr="00AF3759" w:rsidRDefault="00D8696F" w:rsidP="0087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Крім того, розміщення суб’єктами господарювання ТС, що мають різний зовнішній вигляд, негативно впливає на естетичний вигляд території міста</w:t>
      </w:r>
      <w:r w:rsidR="003D036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Хаотичність 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розміщення</w:t>
      </w:r>
      <w:r w:rsidR="003D036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ТС в громадських містах інколи,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окрім естетичного безладу</w:t>
      </w:r>
      <w:r w:rsidR="003D036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несе в собі і загрозу </w:t>
      </w:r>
      <w:r w:rsidR="0081574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життю мешканців міста.</w:t>
      </w:r>
    </w:p>
    <w:p w:rsidR="00815748" w:rsidRPr="00AF3759" w:rsidRDefault="00815748" w:rsidP="00D8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З метою  підтримки суб’єктів господарювання, створення розвинутої  інфраструктури малого підприємництва в м. Лисичанську, дотриман</w:t>
      </w:r>
      <w:r w:rsidR="00A01AA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ня вимог чинного законодавства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щодо якості та безпеки товарів, захисту прав споживачів та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у зв’язку із наявністю скарг мешканців міста на </w:t>
      </w:r>
      <w:r w:rsidR="00A01AA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зовнішній вигляд та роботу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ТС</w:t>
      </w:r>
      <w:r w:rsidR="00A01AA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виникла необхідність в розробленні </w:t>
      </w:r>
      <w:proofErr w:type="spellStart"/>
      <w:r w:rsidR="00A01AA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проєкт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proofErr w:type="spellEnd"/>
      <w:r w:rsidR="00A01AA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регуляторного документа по звільненню території</w:t>
      </w:r>
      <w:r w:rsidR="003D036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(демонтажу)</w:t>
      </w:r>
      <w:r w:rsidR="00A01AA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від самовільно встановлених тимчасових споруд, малих архітектурних форм та засобів пересувної мережі у Лисичанській міській територіальній громаді.</w:t>
      </w:r>
    </w:p>
    <w:p w:rsidR="00A01AAD" w:rsidRPr="00AF3759" w:rsidRDefault="007918C2" w:rsidP="007918C2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>Д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ля вирішення даної проблеми існує необхідність при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йняття нормативно-правового акта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Лисичанської</w:t>
      </w:r>
      <w:r w:rsidR="00ED678B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міською в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ійськово</w:t>
      </w:r>
      <w:r w:rsidR="00ED678B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-цивільною адміністрацією </w:t>
      </w:r>
      <w:r w:rsidR="00533A40" w:rsidRPr="00AF3759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затвердження Порядк</w:t>
      </w:r>
      <w:r w:rsidR="008C0CD5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звільнення території від самовільно встановлених тимчасових споруд, малих архітектурних форм та засоб</w:t>
      </w:r>
      <w:r w:rsidR="00A01AA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ів пересувної мережі 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у  Лисичанській </w:t>
      </w:r>
      <w:r w:rsidR="00C22DA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міській 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територіальній громаді»</w:t>
      </w:r>
      <w:r w:rsidR="00A01AA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, прийняття якого  дозволить впорядкувати  розміщення ТС для впровадження підприємницької діяльності</w:t>
      </w:r>
      <w:r w:rsidR="00C22DA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 території міста на законодавчому рівні.</w:t>
      </w:r>
      <w:r w:rsidR="00A01AA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:rsidR="005003F1" w:rsidRPr="00AF3759" w:rsidRDefault="005003F1" w:rsidP="00FF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Основні групи (підгрупи), на які проблема справляє вплив:</w:t>
      </w:r>
      <w:r w:rsidRPr="00AF3759">
        <w:rPr>
          <w:rFonts w:ascii="Times New Roman" w:eastAsia="Times New Roman" w:hAnsi="Times New Roman" w:cs="Times New Roman"/>
          <w:b/>
          <w:sz w:val="27"/>
          <w:szCs w:val="27"/>
        </w:rPr>
        <w:t> </w:t>
      </w:r>
    </w:p>
    <w:p w:rsidR="0063181D" w:rsidRPr="00AF3759" w:rsidRDefault="0063181D" w:rsidP="00FF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2801"/>
        <w:gridCol w:w="2511"/>
      </w:tblGrid>
      <w:tr w:rsidR="005003F1" w:rsidRPr="00AF3759" w:rsidTr="00533A40">
        <w:trPr>
          <w:tblCellSpacing w:w="0" w:type="dxa"/>
        </w:trPr>
        <w:tc>
          <w:tcPr>
            <w:tcW w:w="225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Групи (підгрупи)</w:t>
            </w:r>
          </w:p>
        </w:tc>
        <w:tc>
          <w:tcPr>
            <w:tcW w:w="145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Так</w:t>
            </w:r>
          </w:p>
        </w:tc>
        <w:tc>
          <w:tcPr>
            <w:tcW w:w="130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Ні</w:t>
            </w:r>
          </w:p>
        </w:tc>
      </w:tr>
      <w:tr w:rsidR="005003F1" w:rsidRPr="00AF3759" w:rsidTr="00533A40">
        <w:trPr>
          <w:tblCellSpacing w:w="0" w:type="dxa"/>
        </w:trPr>
        <w:tc>
          <w:tcPr>
            <w:tcW w:w="225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Громадяни</w:t>
            </w:r>
          </w:p>
        </w:tc>
        <w:tc>
          <w:tcPr>
            <w:tcW w:w="145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+</w:t>
            </w:r>
          </w:p>
        </w:tc>
        <w:tc>
          <w:tcPr>
            <w:tcW w:w="130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5003F1" w:rsidRPr="00AF3759" w:rsidTr="00533A40">
        <w:trPr>
          <w:tblCellSpacing w:w="0" w:type="dxa"/>
        </w:trPr>
        <w:tc>
          <w:tcPr>
            <w:tcW w:w="225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Держава</w:t>
            </w:r>
          </w:p>
        </w:tc>
        <w:tc>
          <w:tcPr>
            <w:tcW w:w="145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</w:rPr>
              <w:t> +</w:t>
            </w:r>
          </w:p>
        </w:tc>
        <w:tc>
          <w:tcPr>
            <w:tcW w:w="130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003F1" w:rsidRPr="00AF3759" w:rsidTr="00533A40">
        <w:trPr>
          <w:tblCellSpacing w:w="0" w:type="dxa"/>
        </w:trPr>
        <w:tc>
          <w:tcPr>
            <w:tcW w:w="2250" w:type="pct"/>
            <w:hideMark/>
          </w:tcPr>
          <w:p w:rsidR="005003F1" w:rsidRPr="001A0240" w:rsidRDefault="005003F1" w:rsidP="00533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Територіальна громада </w:t>
            </w:r>
            <w:r w:rsidR="00533A40"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</w:t>
            </w: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м.</w:t>
            </w:r>
            <w:r w:rsidR="00533A40"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Лисичанська</w:t>
            </w:r>
          </w:p>
        </w:tc>
        <w:tc>
          <w:tcPr>
            <w:tcW w:w="145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+</w:t>
            </w:r>
          </w:p>
        </w:tc>
        <w:tc>
          <w:tcPr>
            <w:tcW w:w="130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5003F1" w:rsidRPr="00AF3759" w:rsidTr="00533A40">
        <w:trPr>
          <w:tblCellSpacing w:w="0" w:type="dxa"/>
        </w:trPr>
        <w:tc>
          <w:tcPr>
            <w:tcW w:w="225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Суб'єкти господарювання, у тому числі суб'єкти малого підприємництва</w:t>
            </w:r>
          </w:p>
        </w:tc>
        <w:tc>
          <w:tcPr>
            <w:tcW w:w="1450" w:type="pct"/>
            <w:hideMark/>
          </w:tcPr>
          <w:p w:rsidR="005003F1" w:rsidRPr="001A0240" w:rsidRDefault="005003F1" w:rsidP="00F75D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1A0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/>
              </w:rPr>
              <w:t>+</w:t>
            </w:r>
          </w:p>
        </w:tc>
        <w:tc>
          <w:tcPr>
            <w:tcW w:w="1300" w:type="pct"/>
            <w:hideMark/>
          </w:tcPr>
          <w:p w:rsidR="005003F1" w:rsidRPr="001A0240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A0240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63181D" w:rsidRPr="00AF3759" w:rsidRDefault="0063181D" w:rsidP="00FF2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003F1" w:rsidRPr="00AF3759" w:rsidRDefault="005003F1" w:rsidP="00FF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2</w:t>
      </w:r>
      <w:r w:rsidR="00F75D5A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.</w:t>
      </w:r>
      <w:r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 Цілі державного регулювання</w:t>
      </w:r>
      <w:r w:rsidRPr="00AF3759">
        <w:rPr>
          <w:rFonts w:ascii="Times New Roman" w:eastAsia="Times New Roman" w:hAnsi="Times New Roman" w:cs="Times New Roman"/>
          <w:b/>
          <w:sz w:val="27"/>
          <w:szCs w:val="27"/>
        </w:rPr>
        <w:t> </w:t>
      </w:r>
    </w:p>
    <w:p w:rsidR="0063181D" w:rsidRPr="00AF3759" w:rsidRDefault="005003F1" w:rsidP="0063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Цілями державного регулювання</w:t>
      </w:r>
      <w:r w:rsidR="0063181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є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:</w:t>
      </w:r>
    </w:p>
    <w:p w:rsidR="0063181D" w:rsidRPr="00AF3759" w:rsidRDefault="005003F1" w:rsidP="0063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покращення благоустрою та збережен</w:t>
      </w:r>
      <w:r w:rsidR="0063181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ня архітектурного вигляду міста;</w:t>
      </w:r>
    </w:p>
    <w:p w:rsidR="0063181D" w:rsidRPr="00AF3759" w:rsidRDefault="005003F1" w:rsidP="0063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ефективне використання </w:t>
      </w:r>
      <w:r w:rsidR="0063181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ресурсів територіальної громади;</w:t>
      </w:r>
    </w:p>
    <w:p w:rsidR="0063181D" w:rsidRPr="00AF3759" w:rsidRDefault="005003F1" w:rsidP="0063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збереження охоро</w:t>
      </w:r>
      <w:r w:rsidR="0063181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нних зон інженерних мереж міста;</w:t>
      </w:r>
    </w:p>
    <w:p w:rsidR="0063181D" w:rsidRPr="00AF3759" w:rsidRDefault="0063181D" w:rsidP="0063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здійснення заходів щодо розширення та вдосконалення мережі підприємств торгівлі, побутового обслуговування</w:t>
      </w:r>
      <w:r w:rsidR="00D514BF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EB1244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населення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</w:p>
    <w:p w:rsidR="0063181D" w:rsidRPr="00AF3759" w:rsidRDefault="0063181D" w:rsidP="0063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підтримка та розвиток підприємництва на території  Лисичанської міської територіальної громади;</w:t>
      </w:r>
    </w:p>
    <w:p w:rsidR="00CD2C48" w:rsidRPr="00AF3759" w:rsidRDefault="0063181D" w:rsidP="0063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покращення архітектурного вигляду території Лисичанської  міської територіальної громади;</w:t>
      </w:r>
    </w:p>
    <w:p w:rsidR="0063181D" w:rsidRPr="00AF3759" w:rsidRDefault="005003F1" w:rsidP="0063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врегулювання процедури функціонування ТС, </w:t>
      </w:r>
      <w:r w:rsidR="00C22DA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створення</w:t>
      </w:r>
      <w:r w:rsidR="0063181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Порядк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proofErr w:type="spellEnd"/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звільнення території від самовільно встановлених </w:t>
      </w:r>
      <w:r w:rsidR="00EC23F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тимчасових споруд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, малих архітектурних фор</w:t>
      </w:r>
      <w:r w:rsidR="0063181D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м та засобів пересувної мережі </w:t>
      </w:r>
      <w:r w:rsidR="00EC23F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у </w:t>
      </w:r>
      <w:r w:rsidR="007918C2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Лисичанс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ькій міській </w:t>
      </w:r>
      <w:r w:rsidR="00EC23F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територіальній  громаді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533A40" w:rsidRPr="00AF3759" w:rsidRDefault="00533A40" w:rsidP="00D401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003F1" w:rsidRPr="00AF3759" w:rsidRDefault="005003F1" w:rsidP="00631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3. Визначення та оцінка альтернативних способів досягнення цілей</w:t>
      </w:r>
    </w:p>
    <w:p w:rsidR="005003F1" w:rsidRPr="00AF3759" w:rsidRDefault="005003F1" w:rsidP="007918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В якості альтернативи для досягнення встановлених цілей пропонується два способи:</w:t>
      </w:r>
    </w:p>
    <w:p w:rsidR="00D401DD" w:rsidRPr="00AF3759" w:rsidRDefault="00D401DD" w:rsidP="007918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tbl>
      <w:tblPr>
        <w:tblW w:w="9677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8"/>
        <w:gridCol w:w="4809"/>
      </w:tblGrid>
      <w:tr w:rsidR="005003F1" w:rsidRPr="00AF3759" w:rsidTr="001A0240">
        <w:trPr>
          <w:tblCellSpacing w:w="0" w:type="dxa"/>
        </w:trPr>
        <w:tc>
          <w:tcPr>
            <w:tcW w:w="486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3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809" w:type="dxa"/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3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Опис альтернативи</w:t>
            </w:r>
          </w:p>
        </w:tc>
      </w:tr>
      <w:tr w:rsidR="005003F1" w:rsidRPr="00AF3759" w:rsidTr="001A0240">
        <w:trPr>
          <w:tblCellSpacing w:w="0" w:type="dxa"/>
        </w:trPr>
        <w:tc>
          <w:tcPr>
            <w:tcW w:w="486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37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809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37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залишити дану ситуацію без змін</w:t>
            </w:r>
          </w:p>
        </w:tc>
      </w:tr>
      <w:tr w:rsidR="005003F1" w:rsidRPr="00AF3759" w:rsidTr="00A86C2A">
        <w:trPr>
          <w:tblCellSpacing w:w="0" w:type="dxa"/>
        </w:trPr>
        <w:tc>
          <w:tcPr>
            <w:tcW w:w="486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37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809" w:type="dxa"/>
            <w:tcBorders>
              <w:bottom w:val="single" w:sz="2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AF3759" w:rsidRDefault="005003F1" w:rsidP="00500F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37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 регуляторного акт</w:t>
            </w:r>
            <w:r w:rsidR="00500FD3" w:rsidRPr="00AF37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</w:tbl>
    <w:p w:rsidR="005003F1" w:rsidRPr="00AF3759" w:rsidRDefault="005003F1" w:rsidP="00CC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</w:t>
      </w:r>
      <w:r w:rsidRPr="00AF3759">
        <w:rPr>
          <w:rFonts w:ascii="Times New Roman" w:eastAsia="Times New Roman" w:hAnsi="Times New Roman" w:cs="Times New Roman"/>
          <w:i/>
          <w:iCs/>
          <w:sz w:val="27"/>
          <w:szCs w:val="27"/>
          <w:lang w:val="uk-UA"/>
        </w:rPr>
        <w:t>Перша альтернатива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є неприйнятною, оскільки, у разі відмови від прийняття </w:t>
      </w:r>
      <w:proofErr w:type="spellStart"/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Порядк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proofErr w:type="spellEnd"/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існує перешкода для планування і забудови, проведення комплексного благоустрою території міста, гальмується розвиток підприємницької діяльності в місті, зменшується додаткових дохід до міського бюджету, погіршується рівень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>благоустрою міста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та архітектурна привабливість місць </w:t>
      </w:r>
      <w:r w:rsidR="003D036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відпочинку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мешканців Лисичанської територіальної громади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CC6844" w:rsidRPr="00AF3759" w:rsidRDefault="00FF2796" w:rsidP="00CC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     </w:t>
      </w:r>
      <w:r w:rsidR="00F75D5A"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Застосування  </w:t>
      </w:r>
      <w:r w:rsidR="005003F1" w:rsidRPr="00AF3759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val="uk-UA"/>
        </w:rPr>
        <w:t xml:space="preserve">другої альтернативи 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 є найбільш прийнятною, оскільки це надасть можливість вирішення актуальних питань механізму 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по</w:t>
      </w:r>
      <w:r w:rsidR="00533A40" w:rsidRPr="00AF375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звільненн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ю</w:t>
      </w:r>
      <w:r w:rsidR="00533A40"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території від самовільно встановлених тимчасових споруд, малих архітектурних форм та засобів пересувної мережі  у  Лисичанській міській  територіальній громаді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</w:p>
    <w:p w:rsidR="005003F1" w:rsidRPr="00AF3759" w:rsidRDefault="00CC6844" w:rsidP="00CC6844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            </w:t>
      </w:r>
      <w:r w:rsidR="005003F1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Оцінка впливу на сферу інтересів держави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3"/>
        <w:gridCol w:w="5205"/>
        <w:gridCol w:w="2362"/>
      </w:tblGrid>
      <w:tr w:rsidR="005003F1" w:rsidRPr="00AF3759" w:rsidTr="00F75D5A">
        <w:trPr>
          <w:tblCellSpacing w:w="0" w:type="dxa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альтернативи</w:t>
            </w:r>
          </w:p>
        </w:tc>
        <w:tc>
          <w:tcPr>
            <w:tcW w:w="5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5003F1" w:rsidRPr="00AF3759" w:rsidTr="00F75D5A">
        <w:trPr>
          <w:tblCellSpacing w:w="0" w:type="dxa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5003F1" w:rsidRPr="00AF3759" w:rsidTr="00F75D5A">
        <w:trPr>
          <w:tblCellSpacing w:w="0" w:type="dxa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F75D5A">
            <w:pPr>
              <w:spacing w:after="0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   Створення прозорої системи прийняття рішень про </w:t>
            </w:r>
            <w:r w:rsidR="00533A40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звільнення території від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ТС </w:t>
            </w:r>
          </w:p>
          <w:p w:rsidR="005003F1" w:rsidRPr="00372BA3" w:rsidRDefault="005003F1" w:rsidP="00F75D5A">
            <w:pPr>
              <w:spacing w:after="0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Підвищення рівня </w:t>
            </w:r>
            <w:r w:rsidR="00FF2796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благоустрою </w:t>
            </w:r>
            <w:r w:rsidR="007918C2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Лисичанс</w:t>
            </w:r>
            <w:r w:rsidR="00FF2796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ької територіальної громади</w:t>
            </w:r>
          </w:p>
          <w:p w:rsidR="005003F1" w:rsidRPr="00372BA3" w:rsidRDefault="005003F1" w:rsidP="00F75D5A">
            <w:pPr>
              <w:spacing w:after="0" w:line="240" w:lineRule="auto"/>
              <w:ind w:left="431" w:hanging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3.Збереження охоро</w:t>
            </w:r>
            <w:r w:rsidR="00500FD3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нних зон інженерних мереж міста</w:t>
            </w:r>
          </w:p>
          <w:p w:rsidR="005003F1" w:rsidRPr="00372BA3" w:rsidRDefault="005003F1" w:rsidP="00FF2796">
            <w:pPr>
              <w:spacing w:after="0" w:line="240" w:lineRule="auto"/>
              <w:ind w:left="431" w:hanging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4.Оформлення права користування ТС до вимо</w:t>
            </w:r>
            <w:r w:rsidR="00500FD3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 чинного законодавства України</w:t>
            </w:r>
          </w:p>
          <w:p w:rsidR="005003F1" w:rsidRPr="00372BA3" w:rsidRDefault="005003F1" w:rsidP="00FF2796">
            <w:pPr>
              <w:spacing w:after="0" w:line="240" w:lineRule="auto"/>
              <w:ind w:left="431" w:hanging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5.Отримання однакових про</w:t>
            </w:r>
            <w:r w:rsidR="00500FD3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зорих можливостей розміщення ТС</w:t>
            </w:r>
          </w:p>
          <w:p w:rsidR="005003F1" w:rsidRPr="00372BA3" w:rsidRDefault="005003F1" w:rsidP="00FF2796">
            <w:pPr>
              <w:spacing w:after="0" w:line="240" w:lineRule="auto"/>
              <w:ind w:left="431" w:hanging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  Створення прозорої системи прийняття рішень про демонтаж</w:t>
            </w:r>
            <w:r w:rsidR="00500FD3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ТС</w:t>
            </w:r>
          </w:p>
          <w:p w:rsidR="005003F1" w:rsidRPr="00372BA3" w:rsidRDefault="00FF2796" w:rsidP="001051C2">
            <w:pPr>
              <w:spacing w:after="0" w:line="240" w:lineRule="auto"/>
              <w:ind w:left="431" w:hanging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7.   </w:t>
            </w:r>
            <w:r w:rsidR="005003F1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Набуття позитивного іміджу владою міста в результаті врегулювання процедури </w:t>
            </w:r>
            <w:r w:rsidR="001051C2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звільнення території (демонтажу) від самовільно встановлених тимчасових споруд, малих архітектурних форм та засобів пересувної мережі</w:t>
            </w:r>
            <w:r w:rsidR="005003F1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10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Витрати </w:t>
            </w:r>
            <w:r w:rsidR="00EB1244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 звільненню території </w:t>
            </w:r>
            <w:r w:rsidR="001051C2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(демонтажу) </w:t>
            </w:r>
            <w:r w:rsidR="00EB1244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1051C2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самовільно встановлених 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ТС, малих архітектурних форм, засобів пересувної мережі.</w:t>
            </w:r>
          </w:p>
        </w:tc>
      </w:tr>
    </w:tbl>
    <w:p w:rsidR="005003F1" w:rsidRPr="00AF3759" w:rsidRDefault="005003F1" w:rsidP="005003F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 xml:space="preserve">  </w:t>
      </w:r>
      <w:r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Оцінка впливу на сферу інтересів громадян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9"/>
        <w:gridCol w:w="5406"/>
        <w:gridCol w:w="1755"/>
      </w:tblGrid>
      <w:tr w:rsidR="005003F1" w:rsidRPr="00AF3759" w:rsidTr="00500FD3">
        <w:trPr>
          <w:tblCellSpacing w:w="0" w:type="dxa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альтернативи</w:t>
            </w:r>
          </w:p>
        </w:tc>
        <w:tc>
          <w:tcPr>
            <w:tcW w:w="5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5003F1" w:rsidRPr="00AF3759" w:rsidTr="00500FD3">
        <w:trPr>
          <w:tblCellSpacing w:w="0" w:type="dxa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5003F1" w:rsidRPr="00AF3759" w:rsidTr="00500FD3">
        <w:trPr>
          <w:tblCellSpacing w:w="0" w:type="dxa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500F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Покращення благоустрою та збереження архітектурного вигляду </w:t>
            </w:r>
            <w:r w:rsidR="00500FD3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:rsidR="005003F1" w:rsidRPr="00AF3759" w:rsidRDefault="005003F1" w:rsidP="005003F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Оцінка впливу на сферу інтересів суб'єктів господарювання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8"/>
        <w:gridCol w:w="1579"/>
        <w:gridCol w:w="1843"/>
        <w:gridCol w:w="535"/>
        <w:gridCol w:w="1450"/>
        <w:gridCol w:w="1740"/>
        <w:gridCol w:w="15"/>
      </w:tblGrid>
      <w:tr w:rsidR="005003F1" w:rsidRPr="00372BA3" w:rsidTr="003D53BA">
        <w:trPr>
          <w:gridAfter w:val="1"/>
          <w:wAfter w:w="15" w:type="dxa"/>
          <w:tblCellSpacing w:w="0" w:type="dxa"/>
        </w:trPr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Великі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Середні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Малі</w:t>
            </w:r>
          </w:p>
        </w:tc>
      </w:tr>
      <w:tr w:rsidR="005003F1" w:rsidRPr="00372BA3" w:rsidTr="003D53BA">
        <w:trPr>
          <w:gridAfter w:val="1"/>
          <w:wAfter w:w="15" w:type="dxa"/>
          <w:tblCellSpacing w:w="0" w:type="dxa"/>
        </w:trPr>
        <w:tc>
          <w:tcPr>
            <w:tcW w:w="4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7918C2" w:rsidP="001A0240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A0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003F1" w:rsidRPr="00372BA3" w:rsidTr="003D53BA">
        <w:trPr>
          <w:gridAfter w:val="1"/>
          <w:wAfter w:w="15" w:type="dxa"/>
          <w:tblCellSpacing w:w="0" w:type="dxa"/>
        </w:trPr>
        <w:tc>
          <w:tcPr>
            <w:tcW w:w="4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03F1" w:rsidRPr="00AF3759" w:rsidTr="00F75D5A">
        <w:trPr>
          <w:tblCellSpacing w:w="0" w:type="dxa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альтернативи</w:t>
            </w:r>
          </w:p>
        </w:tc>
        <w:tc>
          <w:tcPr>
            <w:tcW w:w="39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2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5003F1" w:rsidRPr="00AF3759" w:rsidTr="00F75D5A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3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5003F1" w:rsidRPr="00AF3759" w:rsidTr="00F75D5A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3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Прозорість та зрозумілість процедури </w:t>
            </w:r>
          </w:p>
          <w:p w:rsidR="005003F1" w:rsidRPr="00372BA3" w:rsidRDefault="005003F1" w:rsidP="007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розміщення ТС та процедури </w:t>
            </w:r>
            <w:r w:rsidR="003D0360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звільненню території (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демонтажу</w:t>
            </w:r>
            <w:r w:rsidR="003D0360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ТС, малих архітектурних форм та засобів пересувної мережі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Витрати на проведення </w:t>
            </w:r>
            <w:r w:rsidR="003D0360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робіт по звільненню території (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демонтажу</w:t>
            </w:r>
            <w:r w:rsidR="003D0360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ТС, малих архітектурних форм та засобів пересувної мережі</w:t>
            </w:r>
          </w:p>
        </w:tc>
      </w:tr>
    </w:tbl>
    <w:p w:rsidR="005003F1" w:rsidRDefault="00F75D5A" w:rsidP="005003F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003F1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4. Вибір найбільш оптимального альтернативного способу досягнення цілей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72BA3" w:rsidRPr="00372BA3" w:rsidRDefault="00372BA3" w:rsidP="005003F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8"/>
        <w:gridCol w:w="2288"/>
        <w:gridCol w:w="4874"/>
      </w:tblGrid>
      <w:tr w:rsidR="005003F1" w:rsidRPr="00AF3759" w:rsidTr="003D53BA">
        <w:trPr>
          <w:tblCellSpacing w:w="0" w:type="dxa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Коментарі щодо присвоєння відповідного балу</w:t>
            </w:r>
          </w:p>
        </w:tc>
      </w:tr>
      <w:tr w:rsidR="005003F1" w:rsidRPr="00AF3759" w:rsidTr="003D53BA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Проблема  </w:t>
            </w:r>
            <w:r w:rsidRPr="00372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продовжуватиме існувати</w:t>
            </w:r>
          </w:p>
        </w:tc>
      </w:tr>
      <w:tr w:rsidR="005003F1" w:rsidRPr="00E502B0" w:rsidTr="003D53BA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918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Цілі прийняття регуляторного акта досягнуті, буде встановлена чітка та прозора процедура розміщення та </w:t>
            </w:r>
            <w:r w:rsidR="003D0360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звільнення території (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демонтажу</w:t>
            </w:r>
            <w:r w:rsidR="003D0360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від самовільно встановлених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ТС, малих архітектурних форм та засобів пересувної мережі  на території </w:t>
            </w:r>
            <w:r w:rsidR="007918C2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Лисичансь</w:t>
            </w:r>
            <w:r w:rsidR="00FF2796"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кої територіальної громади</w:t>
            </w:r>
          </w:p>
        </w:tc>
      </w:tr>
    </w:tbl>
    <w:p w:rsidR="005003F1" w:rsidRPr="00AF3759" w:rsidRDefault="005003F1" w:rsidP="005003F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>   </w:t>
      </w:r>
    </w:p>
    <w:tbl>
      <w:tblPr>
        <w:tblW w:w="9615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3"/>
        <w:gridCol w:w="2217"/>
        <w:gridCol w:w="1950"/>
        <w:gridCol w:w="3415"/>
      </w:tblGrid>
      <w:tr w:rsidR="005003F1" w:rsidRPr="00AF3759" w:rsidTr="003D53BA">
        <w:trPr>
          <w:tblCellSpacing w:w="0" w:type="dxa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 результативності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3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D700C8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</w:t>
            </w:r>
            <w:r w:rsidR="005003F1"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відповідного місця альтернативи у рейтингу</w:t>
            </w:r>
          </w:p>
        </w:tc>
      </w:tr>
      <w:tr w:rsidR="005003F1" w:rsidRPr="00AF3759" w:rsidTr="003D53BA">
        <w:trPr>
          <w:tblCellSpacing w:w="0" w:type="dxa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Проблема  продовжуватиме існувати</w:t>
            </w:r>
          </w:p>
        </w:tc>
      </w:tr>
      <w:tr w:rsidR="005003F1" w:rsidRPr="00AF3759" w:rsidTr="003D53BA">
        <w:trPr>
          <w:tblCellSpacing w:w="0" w:type="dxa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Проблема вирішена</w:t>
            </w:r>
          </w:p>
        </w:tc>
      </w:tr>
      <w:tr w:rsidR="005003F1" w:rsidRPr="00AF3759" w:rsidTr="003D53BA">
        <w:trPr>
          <w:tblCellSpacing w:w="0" w:type="dxa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5003F1" w:rsidRPr="00AF3759" w:rsidTr="003D53BA">
        <w:trPr>
          <w:tblCellSpacing w:w="0" w:type="dxa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Існування проблеми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003F1" w:rsidRPr="00AF3759" w:rsidTr="003D53BA">
        <w:trPr>
          <w:tblCellSpacing w:w="0" w:type="dxa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003F1" w:rsidRPr="00372BA3" w:rsidRDefault="005003F1" w:rsidP="007426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 проблеми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003F1" w:rsidRPr="00372BA3" w:rsidRDefault="005003F1" w:rsidP="003A0B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дію даного акта можливий вплив зовнішніх чинників – ухвалення змін та доповнень до чинного законодавства у цій сфері. В такому випадку необхідно буде вносити відповідні зміни до Порядк</w:t>
            </w:r>
            <w:r w:rsidR="003A0B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72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</w:tbl>
    <w:p w:rsidR="00061A13" w:rsidRPr="00AF3759" w:rsidRDefault="005003F1" w:rsidP="00061A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75D5A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</w:p>
    <w:p w:rsidR="00372BA3" w:rsidRDefault="00F75D5A" w:rsidP="00061A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 xml:space="preserve"> </w:t>
      </w:r>
      <w:r w:rsidR="00061A1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003F1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5. Механізм та заходи, які забезпечать розв'язання визначеної проблеми</w:t>
      </w:r>
    </w:p>
    <w:p w:rsidR="005003F1" w:rsidRPr="00AF3759" w:rsidRDefault="005003F1" w:rsidP="00061A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5003F1" w:rsidRPr="00AF3759" w:rsidRDefault="005003F1" w:rsidP="0006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Для розв’язання проблеми зазначеної в розділі 1 цього Аналізу пропонується прийняти розпорядження</w:t>
      </w:r>
      <w:r w:rsidR="00500FD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керівника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7918C2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Лисичанс</w:t>
      </w:r>
      <w:r w:rsidR="00DB7884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ької міської в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ійськов</w:t>
      </w:r>
      <w:r w:rsidR="00DB7884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о-цивільної адміністрації  «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затвердження Порядку </w:t>
      </w:r>
      <w:r w:rsidR="00D700C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звільнення території від самовільно встановлених тимчасових споруд, малих архітектурних форм та засобів пересувної мережі у Лисичанській міській територіальній </w:t>
      </w:r>
      <w:r w:rsidR="00EC23F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громаді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», яким </w:t>
      </w:r>
      <w:r w:rsidR="00C351A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буде </w:t>
      </w:r>
      <w:r w:rsidR="00D700C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створ</w:t>
      </w:r>
      <w:r w:rsidR="00C351A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ено</w:t>
      </w:r>
      <w:r w:rsidR="00D700C8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прозорий порядок процедури </w:t>
      </w:r>
      <w:r w:rsidR="00086199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звільнення території від самовільно встановлених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тимчасових споруд, малих архітектурних форм та засобів пересувної мережі з чіткою координацією суб’єктів, задіяних в процесі виявлення, прийняття рішення щодо демонтажу, проведення безпосереднього демонтажу ТС та її зберігання, </w:t>
      </w:r>
      <w:r w:rsidR="00C351A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 також повідомлення власника (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користувача) ТС про вищезазначені дії.</w:t>
      </w:r>
    </w:p>
    <w:p w:rsidR="00061A13" w:rsidRPr="00AF3759" w:rsidRDefault="00061A13" w:rsidP="0006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003F1" w:rsidRPr="00AF3759" w:rsidRDefault="005003F1" w:rsidP="0006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="00F75D5A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</w:t>
      </w:r>
      <w:r w:rsidR="00061A1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6.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F75D5A" w:rsidRPr="00AF3759" w:rsidRDefault="00061A13" w:rsidP="00C3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>        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Витрати на виконання вимог регуляторного акта з боку органів виконавчої влади або органів місцевого самоврядування та суб'єктів підприємництва відсутні.</w:t>
      </w:r>
    </w:p>
    <w:p w:rsidR="00C351A3" w:rsidRPr="00AF3759" w:rsidRDefault="00C351A3" w:rsidP="00C3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003F1" w:rsidRPr="00AF3759" w:rsidRDefault="00F75D5A" w:rsidP="0006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5003F1"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003F1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7. </w:t>
      </w:r>
      <w:r w:rsidR="00D700C8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Обґрунтування</w:t>
      </w:r>
      <w:r w:rsidR="005003F1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 запропонованого строку дії регуляторного акта</w:t>
      </w:r>
      <w:r w:rsidR="00061A13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.</w:t>
      </w:r>
    </w:p>
    <w:p w:rsidR="005003F1" w:rsidRPr="00AF3759" w:rsidRDefault="005003F1" w:rsidP="0006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 xml:space="preserve">           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Строк дії зазначеного регуляторного акта встановлюється як необмежений. У разі потреби, за підсумками відстеження його результативності, до нього будуть вноситься відповідні зміни. При виникненні змін у чинному законодавстві, які можуть впливати на дію запропонованого регуляторного акта, до нього будуть вноситися необхідні корективи.</w:t>
      </w:r>
    </w:p>
    <w:p w:rsidR="00061A13" w:rsidRPr="00AF3759" w:rsidRDefault="00061A13" w:rsidP="0006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003F1" w:rsidRPr="00AF3759" w:rsidRDefault="005003F1" w:rsidP="00061A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8. Визначення показників результативності дії регуляторного акта.</w:t>
      </w:r>
    </w:p>
    <w:p w:rsidR="005003F1" w:rsidRPr="00AF3759" w:rsidRDefault="005003F1" w:rsidP="0006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759">
        <w:rPr>
          <w:rFonts w:ascii="Times New Roman" w:eastAsia="Times New Roman" w:hAnsi="Times New Roman" w:cs="Times New Roman"/>
          <w:sz w:val="27"/>
          <w:szCs w:val="27"/>
        </w:rPr>
        <w:t xml:space="preserve">            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Ефективність  даного </w:t>
      </w:r>
      <w:proofErr w:type="spellStart"/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про</w:t>
      </w:r>
      <w:r w:rsidR="00C351A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є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кт</w:t>
      </w:r>
      <w:r w:rsidR="00C351A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proofErr w:type="spellEnd"/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регуляторного акт</w:t>
      </w:r>
      <w:r w:rsidR="00C351A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буде відстежуватись на підставі наступних показників:</w:t>
      </w:r>
    </w:p>
    <w:p w:rsidR="005003F1" w:rsidRPr="00AF3759" w:rsidRDefault="005003F1" w:rsidP="001051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</w:t>
      </w:r>
      <w:r w:rsidR="001051C2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кількість суб’єктів господарювання та/або фізичних осіб, на яких поширюватиметься дія акта;</w:t>
      </w:r>
    </w:p>
    <w:p w:rsidR="005003F1" w:rsidRPr="00AF3759" w:rsidRDefault="005003F1" w:rsidP="00105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</w:t>
      </w:r>
      <w:r w:rsidR="001051C2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кількість  прийнятих рішень щодо демонтажу тимчасових споруд, малих архітектурних форм, засобів пересувної мережі;</w:t>
      </w:r>
    </w:p>
    <w:p w:rsidR="005003F1" w:rsidRPr="00AF3759" w:rsidRDefault="005003F1" w:rsidP="00105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</w:t>
      </w:r>
      <w:r w:rsidR="001051C2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відсутність скарг від фізичних та юридичних осіб, їх об’єднань щодо невпорядкованості процедури розміщення та демонтажу тимчасових споруд, малих архітектурних форм,  засобів пересувної мережі.</w:t>
      </w:r>
    </w:p>
    <w:p w:rsidR="005003F1" w:rsidRPr="00AF3759" w:rsidRDefault="005003F1" w:rsidP="00061A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="00F75D5A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AF375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9. Визначення заходів, за допомогою яких здійснюватиметься відстеження  результативності</w:t>
      </w:r>
      <w:r w:rsidR="00061A13" w:rsidRPr="00AF3759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.</w:t>
      </w:r>
    </w:p>
    <w:p w:rsidR="005003F1" w:rsidRPr="00AF3759" w:rsidRDefault="005003F1" w:rsidP="00061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Відстеження </w:t>
      </w:r>
      <w:r w:rsidR="00CC6844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результативності </w:t>
      </w:r>
      <w:proofErr w:type="spellStart"/>
      <w:r w:rsidR="00CC6844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про</w:t>
      </w:r>
      <w:r w:rsidR="00086199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є</w:t>
      </w:r>
      <w:r w:rsidR="00CC6844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кт</w:t>
      </w:r>
      <w:r w:rsidR="00C351A3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proofErr w:type="spellEnd"/>
      <w:r w:rsidR="00CC6844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розпорядження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здійснюватиметься на підставі порівняння даних за показниками, визначеними у пункті 8 цього аналізу.</w:t>
      </w:r>
    </w:p>
    <w:p w:rsidR="005003F1" w:rsidRPr="00AF3759" w:rsidRDefault="005003F1" w:rsidP="00F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Базове відстеження результативності регуляторного акта буде проведено до набрання чинності запропонованого </w:t>
      </w:r>
      <w:proofErr w:type="spellStart"/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про</w:t>
      </w:r>
      <w:r w:rsidR="00086199"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є</w:t>
      </w: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кт</w:t>
      </w:r>
      <w:r w:rsidR="003A0BC4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proofErr w:type="spellEnd"/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регуляторного акта.</w:t>
      </w:r>
    </w:p>
    <w:p w:rsidR="005003F1" w:rsidRPr="00AF3759" w:rsidRDefault="005003F1" w:rsidP="00FF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>Повторне відстеження результативності дії акта буде проведено через рік з дня прийняття цього регуляторного акта.</w:t>
      </w:r>
    </w:p>
    <w:p w:rsidR="005003F1" w:rsidRPr="00AF3759" w:rsidRDefault="005003F1" w:rsidP="00FF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Періодичне відстеження має бути здійснено раз на три роки після проведення повторного відстеження результативності, за кількісними показниками порівнюватися з показниками, визначеними під час повторного відстеження.</w:t>
      </w:r>
    </w:p>
    <w:p w:rsidR="005003F1" w:rsidRPr="00AF3759" w:rsidRDefault="005003F1" w:rsidP="00FF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sz w:val="27"/>
          <w:szCs w:val="27"/>
          <w:lang w:val="uk-UA"/>
        </w:rPr>
        <w:t>У разі виявлення неврегульованих та проблемних моментів, які передбачається встановлювати шляхом аналізу якісних та кількісних показників дії цього акта, буде розглядатись можливість їх виправлення шляхом внесення відповідних змін.</w:t>
      </w:r>
    </w:p>
    <w:p w:rsidR="005003F1" w:rsidRPr="00AF3759" w:rsidRDefault="005003F1" w:rsidP="005003F1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061A13" w:rsidRPr="00AF3759" w:rsidRDefault="00061A13" w:rsidP="005003F1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tbl>
      <w:tblPr>
        <w:tblW w:w="9862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625"/>
      </w:tblGrid>
      <w:tr w:rsidR="005003F1" w:rsidRPr="00E502B0" w:rsidTr="0074261C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5003F1" w:rsidRPr="00E502B0" w:rsidTr="0074261C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003F1" w:rsidRPr="00E502B0" w:rsidTr="0074261C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003F1" w:rsidRPr="00E502B0" w:rsidTr="0074261C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003F1" w:rsidRPr="00E502B0" w:rsidTr="0074261C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003F1" w:rsidRPr="00E502B0" w:rsidTr="0074261C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3F1" w:rsidRPr="00AF3759" w:rsidRDefault="005003F1" w:rsidP="007426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:rsidR="0028293E" w:rsidRDefault="0028293E" w:rsidP="00DE1B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Заступник керівника з питань безпеки та </w:t>
      </w:r>
    </w:p>
    <w:p w:rsidR="0028293E" w:rsidRDefault="0028293E" w:rsidP="00DE1B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громадського порядку</w:t>
      </w:r>
      <w:r w:rsidR="007918C2" w:rsidRPr="00372BA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Лисичанс</w:t>
      </w:r>
      <w:r w:rsidR="00DE1B8D" w:rsidRPr="00372BA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ької міської ВЦА      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</w:t>
      </w:r>
      <w:r w:rsidRPr="0028293E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Максим ЧЕРЕВКО</w:t>
      </w:r>
    </w:p>
    <w:p w:rsidR="00DE1B8D" w:rsidRDefault="005003F1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A5A5A"/>
          <w:sz w:val="27"/>
          <w:szCs w:val="27"/>
          <w:lang w:val="uk-UA"/>
        </w:rPr>
      </w:pPr>
      <w:r w:rsidRPr="00AF3759">
        <w:rPr>
          <w:rFonts w:ascii="Times New Roman" w:eastAsia="Times New Roman" w:hAnsi="Times New Roman" w:cs="Times New Roman"/>
          <w:color w:val="5A5A5A"/>
          <w:sz w:val="27"/>
          <w:szCs w:val="27"/>
        </w:rPr>
        <w:t>           </w:t>
      </w:r>
    </w:p>
    <w:p w:rsidR="00A9483A" w:rsidRDefault="00A9483A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A5A5A"/>
          <w:sz w:val="27"/>
          <w:szCs w:val="27"/>
          <w:lang w:val="uk-UA"/>
        </w:rPr>
      </w:pPr>
    </w:p>
    <w:p w:rsidR="00A9483A" w:rsidRPr="0028293E" w:rsidRDefault="0028293E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5A5A5A"/>
          <w:sz w:val="28"/>
          <w:szCs w:val="28"/>
          <w:lang w:val="uk-UA"/>
        </w:rPr>
      </w:pPr>
      <w:r w:rsidRPr="0028293E">
        <w:rPr>
          <w:rFonts w:ascii="Times New Roman" w:eastAsia="Times New Roman" w:hAnsi="Times New Roman" w:cs="Times New Roman"/>
          <w:b/>
          <w:color w:val="5A5A5A"/>
          <w:sz w:val="28"/>
          <w:szCs w:val="28"/>
          <w:lang w:val="uk-UA"/>
        </w:rPr>
        <w:t>ПІДГОТУВАВ:</w:t>
      </w:r>
    </w:p>
    <w:p w:rsidR="00A9483A" w:rsidRPr="00A9483A" w:rsidRDefault="00A9483A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A5A5A"/>
          <w:sz w:val="27"/>
          <w:szCs w:val="27"/>
          <w:lang w:val="uk-UA"/>
        </w:rPr>
      </w:pPr>
    </w:p>
    <w:p w:rsidR="00A9483A" w:rsidRDefault="00A9483A" w:rsidP="00A948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Заступник н</w:t>
      </w:r>
      <w:r w:rsidRPr="00A9483A">
        <w:rPr>
          <w:rFonts w:ascii="Times New Roman" w:eastAsia="Times New Roman" w:hAnsi="Times New Roman" w:cs="Times New Roman"/>
          <w:sz w:val="27"/>
          <w:szCs w:val="27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r w:rsidRPr="00A9483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управління будівництва </w:t>
      </w:r>
    </w:p>
    <w:p w:rsidR="00061A13" w:rsidRPr="00A9483A" w:rsidRDefault="00A9483A" w:rsidP="00A948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та </w:t>
      </w:r>
      <w:r w:rsidRPr="00A9483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архітектури Лисичанської міської ВЦА 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</w:t>
      </w:r>
      <w:r w:rsidRPr="00A9483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Тетяна КОВАЛЕНКО</w:t>
      </w:r>
    </w:p>
    <w:p w:rsidR="00A9483A" w:rsidRPr="00AF3759" w:rsidRDefault="00A9483A" w:rsidP="00A948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CC6844" w:rsidRPr="00AF3759" w:rsidRDefault="00CC6844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D700C8" w:rsidRPr="00AF3759" w:rsidRDefault="00D700C8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D700C8" w:rsidRPr="00AF3759" w:rsidRDefault="00D700C8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D700C8" w:rsidRPr="00AF3759" w:rsidRDefault="00D700C8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C351A3" w:rsidRPr="00AF3759" w:rsidRDefault="00C351A3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D700C8" w:rsidRPr="00D401DD" w:rsidRDefault="00D700C8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0C8" w:rsidRDefault="00D700C8" w:rsidP="00DE1B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4386" w:rsidRDefault="00A44386">
      <w:pPr>
        <w:rPr>
          <w:rFonts w:ascii="Times New Roman" w:hAnsi="Times New Roman" w:cs="Times New Roman"/>
          <w:sz w:val="28"/>
          <w:szCs w:val="28"/>
          <w:lang w:val="uk-UA"/>
        </w:rPr>
        <w:sectPr w:rsidR="00A44386" w:rsidSect="00372BA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4386" w:rsidRPr="00BD5303" w:rsidRDefault="00A44386" w:rsidP="00A4438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  <w:lang w:val="uk-UA"/>
        </w:rPr>
      </w:pPr>
      <w:r w:rsidRPr="00BD530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 до аналізу регуляторного впливу проекту розпорядження керівника Лисичанської міської військово-цивільної адміністрації «Про затвердження Порядку звільнення території від самовільно встановлених тимчасових споруд, малих архітектурних </w:t>
      </w:r>
    </w:p>
    <w:p w:rsidR="00A44386" w:rsidRPr="00BD5303" w:rsidRDefault="00A44386" w:rsidP="00A4438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  <w:lang w:val="uk-UA"/>
        </w:rPr>
      </w:pPr>
      <w:r w:rsidRPr="00BD5303">
        <w:rPr>
          <w:rFonts w:ascii="Times New Roman" w:hAnsi="Times New Roman" w:cs="Times New Roman"/>
          <w:sz w:val="24"/>
          <w:szCs w:val="24"/>
          <w:lang w:val="uk-UA"/>
        </w:rPr>
        <w:t>форм та засобів пересувної мережі у  Лисичанській міській  територіальній громаді»</w:t>
      </w:r>
    </w:p>
    <w:p w:rsidR="00A44386" w:rsidRPr="00BD5303" w:rsidRDefault="00A44386" w:rsidP="00A443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303">
        <w:rPr>
          <w:rFonts w:ascii="Times New Roman" w:hAnsi="Times New Roman" w:cs="Times New Roman"/>
          <w:b/>
          <w:sz w:val="28"/>
          <w:szCs w:val="28"/>
          <w:lang w:val="uk-UA"/>
        </w:rPr>
        <w:t>ТЕСТ</w:t>
      </w:r>
    </w:p>
    <w:p w:rsidR="00A44386" w:rsidRPr="00BD5303" w:rsidRDefault="00A44386" w:rsidP="00A443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303">
        <w:rPr>
          <w:rFonts w:ascii="Times New Roman" w:hAnsi="Times New Roman" w:cs="Times New Roman"/>
          <w:b/>
          <w:sz w:val="28"/>
          <w:szCs w:val="28"/>
          <w:lang w:val="uk-UA"/>
        </w:rPr>
        <w:t>малого підприємництва (М-Тест)</w:t>
      </w:r>
    </w:p>
    <w:p w:rsidR="00A44386" w:rsidRPr="00BD5303" w:rsidRDefault="00A44386" w:rsidP="00A4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3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Консультації з представниками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  <w:lang w:val="uk-UA"/>
        </w:rPr>
        <w:t>мікро-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малого підприємництва щодо оцінки впливу регулювання</w:t>
      </w:r>
    </w:p>
    <w:p w:rsidR="00A44386" w:rsidRPr="00BD5303" w:rsidRDefault="00A44386" w:rsidP="00A443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суб'єктів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малого </w:t>
      </w:r>
      <w:proofErr w:type="spellStart"/>
      <w:proofErr w:type="gramStart"/>
      <w:r w:rsidRPr="00BD53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5303">
        <w:rPr>
          <w:rFonts w:ascii="Times New Roman" w:hAnsi="Times New Roman" w:cs="Times New Roman"/>
          <w:sz w:val="24"/>
          <w:szCs w:val="24"/>
        </w:rPr>
        <w:t>ідприємництва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детального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процедур,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, проведено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розробником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530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D5303">
        <w:rPr>
          <w:rFonts w:ascii="Times New Roman" w:hAnsi="Times New Roman" w:cs="Times New Roman"/>
          <w:sz w:val="24"/>
          <w:szCs w:val="24"/>
        </w:rPr>
        <w:t xml:space="preserve"> з </w:t>
      </w:r>
      <w:r w:rsidRPr="00BD5303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D5303">
        <w:rPr>
          <w:rFonts w:ascii="Times New Roman" w:hAnsi="Times New Roman" w:cs="Times New Roman"/>
          <w:sz w:val="24"/>
          <w:szCs w:val="24"/>
          <w:lang w:val="uk-UA"/>
        </w:rPr>
        <w:t xml:space="preserve">.04.2021р. </w:t>
      </w:r>
      <w:r w:rsidRPr="00BD530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BD5303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D5303">
        <w:rPr>
          <w:rFonts w:ascii="Times New Roman" w:hAnsi="Times New Roman" w:cs="Times New Roman"/>
          <w:sz w:val="24"/>
          <w:szCs w:val="24"/>
          <w:lang w:val="uk-UA"/>
        </w:rPr>
        <w:t>.2021 р.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82"/>
        <w:gridCol w:w="3660"/>
        <w:gridCol w:w="5400"/>
      </w:tblGrid>
      <w:tr w:rsidR="00A44386" w:rsidRPr="00BD5303" w:rsidTr="006E3A0F">
        <w:tc>
          <w:tcPr>
            <w:tcW w:w="1526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Порядковий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4282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публічні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круглі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наради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інтернет-консультації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інтернет-форуми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запити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експертів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науковців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0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5400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4386" w:rsidRPr="00BD5303" w:rsidTr="006E3A0F">
        <w:trPr>
          <w:trHeight w:val="995"/>
        </w:trPr>
        <w:tc>
          <w:tcPr>
            <w:tcW w:w="1526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82" w:type="dxa"/>
          </w:tcPr>
          <w:p w:rsidR="00A44386" w:rsidRPr="00BD5303" w:rsidRDefault="00A44386" w:rsidP="006E3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у формі запитів та робочих нарад з підприємцями, які здійснюють свою діяльність через  в приміщеннях, які належать до категорії тимчасових  споруд</w:t>
            </w:r>
          </w:p>
        </w:tc>
        <w:tc>
          <w:tcPr>
            <w:tcW w:w="3660" w:type="dxa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0" w:type="dxa"/>
          </w:tcPr>
          <w:p w:rsidR="00A44386" w:rsidRPr="00BD5303" w:rsidRDefault="00A44386" w:rsidP="006E3A0F">
            <w:pPr>
              <w:ind w:right="41"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Отримано інформацію щодо існування проблеми впорядкування розміщення тимчасових споруд, малих архітектурних форм, засобів пересувної мережі  на території Лисичанської міської територіальної громади. </w:t>
            </w:r>
          </w:p>
          <w:p w:rsidR="00A44386" w:rsidRPr="00BD5303" w:rsidRDefault="00A44386" w:rsidP="006E3A0F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На теперішній час на законодавчому рівні відсутній порядок звільнення території від </w:t>
            </w: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самовільно встановлених тимчасових споруд, малих архітектурних форм та засобів пересувної мережі. Проте, у м.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Лисичанск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проблема впорядкування місць  розташування таких споруд стоїть гостро і потребує її вирішення. </w:t>
            </w:r>
          </w:p>
        </w:tc>
      </w:tr>
      <w:tr w:rsidR="00A44386" w:rsidRPr="00BD5303" w:rsidTr="006E3A0F">
        <w:tc>
          <w:tcPr>
            <w:tcW w:w="1526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282" w:type="dxa"/>
          </w:tcPr>
          <w:p w:rsidR="00A44386" w:rsidRPr="00BD5303" w:rsidRDefault="00A44386" w:rsidP="006E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телефонному</w:t>
            </w:r>
            <w:proofErr w:type="gram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</w:p>
        </w:tc>
        <w:tc>
          <w:tcPr>
            <w:tcW w:w="3660" w:type="dxa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A44386" w:rsidRPr="00BD5303" w:rsidRDefault="00A44386" w:rsidP="006E3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Надано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проєкту регуляторного акта</w:t>
            </w:r>
          </w:p>
        </w:tc>
      </w:tr>
      <w:tr w:rsidR="00A44386" w:rsidRPr="00BD5303" w:rsidTr="006E3A0F">
        <w:tc>
          <w:tcPr>
            <w:tcW w:w="1526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82" w:type="dxa"/>
          </w:tcPr>
          <w:p w:rsidR="00A44386" w:rsidRPr="00BD5303" w:rsidRDefault="00A44386" w:rsidP="006E3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досвіду по організації </w:t>
            </w:r>
          </w:p>
        </w:tc>
        <w:tc>
          <w:tcPr>
            <w:tcW w:w="3660" w:type="dxa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A44386" w:rsidRPr="00BD5303" w:rsidRDefault="00A44386" w:rsidP="006E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386" w:rsidRPr="00BD5303" w:rsidRDefault="00A44386" w:rsidP="00A443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0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44386" w:rsidRPr="00BD5303" w:rsidRDefault="00A44386" w:rsidP="00A4438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Вимірювання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суб'єктів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малого </w:t>
      </w:r>
      <w:proofErr w:type="spellStart"/>
      <w:proofErr w:type="gramStart"/>
      <w:r w:rsidRPr="00BD53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5303">
        <w:rPr>
          <w:rFonts w:ascii="Times New Roman" w:hAnsi="Times New Roman" w:cs="Times New Roman"/>
          <w:b/>
          <w:sz w:val="28"/>
          <w:szCs w:val="28"/>
        </w:rPr>
        <w:t>ідприємництва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мікро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- та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малі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>):</w:t>
      </w:r>
    </w:p>
    <w:p w:rsidR="00A44386" w:rsidRDefault="00A44386" w:rsidP="00A4438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proofErr w:type="spellStart"/>
      <w:r w:rsidRPr="00776BC5">
        <w:t>Кількість</w:t>
      </w:r>
      <w:proofErr w:type="spellEnd"/>
      <w:r w:rsidRPr="00776BC5">
        <w:t xml:space="preserve"> </w:t>
      </w:r>
      <w:proofErr w:type="spellStart"/>
      <w:r w:rsidRPr="00776BC5">
        <w:t>суб’єктів</w:t>
      </w:r>
      <w:proofErr w:type="spellEnd"/>
      <w:r w:rsidRPr="00776BC5">
        <w:t xml:space="preserve"> малого </w:t>
      </w:r>
      <w:proofErr w:type="spellStart"/>
      <w:proofErr w:type="gramStart"/>
      <w:r w:rsidRPr="00776BC5">
        <w:t>п</w:t>
      </w:r>
      <w:proofErr w:type="gramEnd"/>
      <w:r w:rsidRPr="00776BC5">
        <w:t>ідприємництва</w:t>
      </w:r>
      <w:proofErr w:type="spellEnd"/>
      <w:r w:rsidRPr="00776BC5">
        <w:t xml:space="preserve">, на </w:t>
      </w:r>
      <w:proofErr w:type="spellStart"/>
      <w:r w:rsidRPr="00776BC5">
        <w:t>я</w:t>
      </w:r>
      <w:r>
        <w:t>ких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: </w:t>
      </w:r>
      <w:r>
        <w:rPr>
          <w:lang w:val="uk-UA"/>
        </w:rPr>
        <w:t>111</w:t>
      </w:r>
      <w:r>
        <w:t xml:space="preserve"> (</w:t>
      </w:r>
      <w:proofErr w:type="spellStart"/>
      <w:r>
        <w:t>одиниць</w:t>
      </w:r>
      <w:proofErr w:type="spellEnd"/>
      <w:r>
        <w:t xml:space="preserve">) </w:t>
      </w:r>
      <w:proofErr w:type="spellStart"/>
      <w:r>
        <w:t>мікропідприємництва</w:t>
      </w:r>
      <w:proofErr w:type="spellEnd"/>
      <w:r>
        <w:rPr>
          <w:lang w:val="uk-UA"/>
        </w:rPr>
        <w:t>;</w:t>
      </w:r>
      <w:r w:rsidRPr="00776BC5">
        <w:rPr>
          <w:lang w:val="uk-UA"/>
        </w:rPr>
        <w:t xml:space="preserve"> </w:t>
      </w:r>
      <w:bookmarkStart w:id="1" w:name="n205"/>
      <w:bookmarkEnd w:id="1"/>
      <w:proofErr w:type="spellStart"/>
      <w:r w:rsidRPr="00776BC5">
        <w:t>питома</w:t>
      </w:r>
      <w:proofErr w:type="spellEnd"/>
      <w:r w:rsidRPr="00776BC5">
        <w:t xml:space="preserve"> вага </w:t>
      </w:r>
      <w:proofErr w:type="spellStart"/>
      <w:r w:rsidRPr="00776BC5">
        <w:t>суб’єктів</w:t>
      </w:r>
      <w:proofErr w:type="spellEnd"/>
      <w:r w:rsidRPr="00776BC5">
        <w:t xml:space="preserve"> малого </w:t>
      </w:r>
      <w:proofErr w:type="spellStart"/>
      <w:proofErr w:type="gramStart"/>
      <w:r w:rsidRPr="00776BC5">
        <w:t>п</w:t>
      </w:r>
      <w:proofErr w:type="gramEnd"/>
      <w:r w:rsidRPr="00776BC5">
        <w:t>ідприємництва</w:t>
      </w:r>
      <w:proofErr w:type="spellEnd"/>
      <w:r w:rsidRPr="00776BC5">
        <w:t xml:space="preserve"> у </w:t>
      </w:r>
      <w:proofErr w:type="spellStart"/>
      <w:r w:rsidRPr="00776BC5">
        <w:t>загальній</w:t>
      </w:r>
      <w:proofErr w:type="spellEnd"/>
      <w:r w:rsidRPr="00776BC5">
        <w:t xml:space="preserve"> </w:t>
      </w:r>
      <w:proofErr w:type="spellStart"/>
      <w:r w:rsidRPr="00776BC5">
        <w:t>кількості</w:t>
      </w:r>
      <w:proofErr w:type="spellEnd"/>
      <w:r w:rsidRPr="00776BC5">
        <w:t xml:space="preserve"> </w:t>
      </w:r>
      <w:proofErr w:type="spellStart"/>
      <w:r w:rsidRPr="00776BC5">
        <w:t>суб’єктів</w:t>
      </w:r>
      <w:proofErr w:type="spellEnd"/>
      <w:r w:rsidRPr="00776BC5">
        <w:t xml:space="preserve"> </w:t>
      </w:r>
      <w:proofErr w:type="spellStart"/>
      <w:r w:rsidRPr="00776BC5">
        <w:t>господарювання</w:t>
      </w:r>
      <w:proofErr w:type="spellEnd"/>
      <w:r w:rsidRPr="00776BC5">
        <w:t xml:space="preserve">, на </w:t>
      </w:r>
      <w:proofErr w:type="spellStart"/>
      <w:r>
        <w:t>яких</w:t>
      </w:r>
      <w:proofErr w:type="spellEnd"/>
      <w:r>
        <w:t xml:space="preserve"> проблема </w:t>
      </w:r>
      <w:proofErr w:type="spellStart"/>
      <w:r>
        <w:t>справляє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r>
        <w:rPr>
          <w:lang w:val="uk-UA"/>
        </w:rPr>
        <w:t>100</w:t>
      </w:r>
      <w:r w:rsidRPr="00776BC5">
        <w:t xml:space="preserve"> (</w:t>
      </w:r>
      <w:proofErr w:type="spellStart"/>
      <w:r w:rsidRPr="00776BC5">
        <w:t>відсотків</w:t>
      </w:r>
      <w:proofErr w:type="spellEnd"/>
      <w:r w:rsidRPr="00776BC5">
        <w:t>) (</w:t>
      </w:r>
      <w:proofErr w:type="spellStart"/>
      <w:r w:rsidRPr="00776BC5">
        <w:t>відповідно</w:t>
      </w:r>
      <w:proofErr w:type="spellEnd"/>
      <w:r w:rsidRPr="00776BC5">
        <w:t xml:space="preserve"> до </w:t>
      </w:r>
      <w:proofErr w:type="spellStart"/>
      <w:r w:rsidRPr="00776BC5">
        <w:t>таблиці</w:t>
      </w:r>
      <w:proofErr w:type="spellEnd"/>
      <w:r w:rsidRPr="00776BC5">
        <w:t xml:space="preserve"> “</w:t>
      </w:r>
      <w:proofErr w:type="spellStart"/>
      <w:r w:rsidRPr="00776BC5">
        <w:t>Оцінка</w:t>
      </w:r>
      <w:proofErr w:type="spellEnd"/>
      <w:r w:rsidRPr="00776BC5">
        <w:t xml:space="preserve"> </w:t>
      </w:r>
      <w:proofErr w:type="spellStart"/>
      <w:r w:rsidRPr="00776BC5">
        <w:t>впливу</w:t>
      </w:r>
      <w:proofErr w:type="spellEnd"/>
      <w:r w:rsidRPr="00776BC5">
        <w:t xml:space="preserve"> на сферу </w:t>
      </w:r>
      <w:proofErr w:type="spellStart"/>
      <w:r w:rsidRPr="00776BC5">
        <w:t>інтересів</w:t>
      </w:r>
      <w:proofErr w:type="spellEnd"/>
      <w:r w:rsidRPr="00776BC5">
        <w:t xml:space="preserve"> </w:t>
      </w:r>
      <w:proofErr w:type="spellStart"/>
      <w:r w:rsidRPr="00776BC5">
        <w:t>суб’єктів</w:t>
      </w:r>
      <w:proofErr w:type="spellEnd"/>
      <w:r w:rsidRPr="00776BC5">
        <w:t xml:space="preserve"> </w:t>
      </w:r>
      <w:proofErr w:type="spellStart"/>
      <w:r w:rsidRPr="00776BC5">
        <w:t>господарювання</w:t>
      </w:r>
      <w:proofErr w:type="spellEnd"/>
      <w:r w:rsidRPr="00776BC5">
        <w:t xml:space="preserve">” </w:t>
      </w:r>
      <w:proofErr w:type="spellStart"/>
      <w:r w:rsidRPr="00776BC5">
        <w:t>додатка</w:t>
      </w:r>
      <w:proofErr w:type="spellEnd"/>
      <w:r w:rsidRPr="00776BC5">
        <w:t xml:space="preserve"> 1 до Методики </w:t>
      </w:r>
      <w:proofErr w:type="spellStart"/>
      <w:r w:rsidRPr="00776BC5">
        <w:t>проведення</w:t>
      </w:r>
      <w:proofErr w:type="spellEnd"/>
      <w:r w:rsidRPr="00776BC5">
        <w:t xml:space="preserve"> </w:t>
      </w:r>
      <w:proofErr w:type="spellStart"/>
      <w:r w:rsidRPr="00776BC5">
        <w:t>аналізу</w:t>
      </w:r>
      <w:proofErr w:type="spellEnd"/>
      <w:r w:rsidRPr="00776BC5">
        <w:t xml:space="preserve"> </w:t>
      </w:r>
      <w:proofErr w:type="spellStart"/>
      <w:r w:rsidRPr="00776BC5">
        <w:t>впливу</w:t>
      </w:r>
      <w:proofErr w:type="spellEnd"/>
      <w:r w:rsidRPr="00776BC5">
        <w:t xml:space="preserve"> регуляторного акта).</w:t>
      </w:r>
    </w:p>
    <w:p w:rsidR="00A44386" w:rsidRPr="00486985" w:rsidRDefault="00A44386" w:rsidP="00A4438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</w:p>
    <w:p w:rsidR="00A44386" w:rsidRPr="00BD5303" w:rsidRDefault="00A44386" w:rsidP="00A443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Розрахунок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витрат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суб'єктів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малого </w:t>
      </w:r>
      <w:proofErr w:type="spellStart"/>
      <w:proofErr w:type="gramStart"/>
      <w:r w:rsidRPr="00BD53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5303">
        <w:rPr>
          <w:rFonts w:ascii="Times New Roman" w:hAnsi="Times New Roman" w:cs="Times New Roman"/>
          <w:b/>
          <w:sz w:val="28"/>
          <w:szCs w:val="28"/>
        </w:rPr>
        <w:t>ідприємництва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вимог</w:t>
      </w:r>
      <w:proofErr w:type="spellEnd"/>
      <w:r w:rsidRPr="00BD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303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2694"/>
        <w:gridCol w:w="2994"/>
        <w:gridCol w:w="3312"/>
        <w:gridCol w:w="3312"/>
      </w:tblGrid>
      <w:tr w:rsidR="00A44386" w:rsidRPr="00BD5303" w:rsidTr="006E3A0F">
        <w:tc>
          <w:tcPr>
            <w:tcW w:w="959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2994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У перший </w:t>
            </w:r>
            <w:proofErr w:type="spellStart"/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стартовий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312" w:type="dxa"/>
            <w:vAlign w:val="center"/>
          </w:tcPr>
          <w:p w:rsidR="00A44386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Періодичні</w:t>
            </w:r>
            <w:proofErr w:type="spellEnd"/>
          </w:p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наступний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312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п'ять</w:t>
            </w:r>
            <w:proofErr w:type="spellEnd"/>
            <w:proofErr w:type="gram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A44386" w:rsidRPr="00BD5303" w:rsidTr="006E3A0F">
        <w:tc>
          <w:tcPr>
            <w:tcW w:w="14688" w:type="dxa"/>
            <w:gridSpan w:val="6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 вартості  адміністративних процедур  суб’єктів  малого підприємництва  щодо виконання вимог регулювання</w:t>
            </w:r>
            <w:r w:rsidRPr="00BD53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</w:p>
        </w:tc>
      </w:tr>
      <w:tr w:rsidR="00A44386" w:rsidRPr="00BD5303" w:rsidTr="006E3A0F">
        <w:tc>
          <w:tcPr>
            <w:tcW w:w="959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  <w:gridSpan w:val="2"/>
          </w:tcPr>
          <w:p w:rsidR="00A44386" w:rsidRPr="00BD5303" w:rsidRDefault="00A44386" w:rsidP="006E3A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Процедура отримання первинної інформації про вимоги регулювання</w:t>
            </w:r>
          </w:p>
          <w:p w:rsidR="00A44386" w:rsidRPr="00BD5303" w:rsidRDefault="00A44386" w:rsidP="006E3A0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Формула:</w:t>
            </w:r>
          </w:p>
          <w:p w:rsidR="00A44386" w:rsidRPr="00BD5303" w:rsidRDefault="00A44386" w:rsidP="006E3A0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(витрати часу на пошук інформації Х вартість часу суб’єкта малого підприємництва) </w:t>
            </w:r>
          </w:p>
          <w:p w:rsidR="00A44386" w:rsidRPr="00BD5303" w:rsidRDefault="00A44386" w:rsidP="006E3A0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1год Х 36,11</w:t>
            </w:r>
            <w:r w:rsidRPr="00BD53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>2</w:t>
            </w:r>
            <w:r w:rsidRPr="00BD53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994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36,11</w:t>
            </w:r>
          </w:p>
        </w:tc>
        <w:tc>
          <w:tcPr>
            <w:tcW w:w="3312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36,11</w:t>
            </w:r>
          </w:p>
        </w:tc>
        <w:tc>
          <w:tcPr>
            <w:tcW w:w="3312" w:type="dxa"/>
            <w:vAlign w:val="center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36,11</w:t>
            </w:r>
          </w:p>
        </w:tc>
      </w:tr>
      <w:tr w:rsidR="00A44386" w:rsidRPr="00776BC5" w:rsidTr="006E3A0F">
        <w:tc>
          <w:tcPr>
            <w:tcW w:w="14688" w:type="dxa"/>
            <w:gridSpan w:val="6"/>
          </w:tcPr>
          <w:p w:rsidR="00A44386" w:rsidRPr="00BD5303" w:rsidRDefault="00A44386" w:rsidP="006E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Оцінка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прямих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суб'єктів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proofErr w:type="spellStart"/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ідприємництва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організацію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959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gridSpan w:val="2"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необхідного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пристрої</w:t>
            </w:r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, машин,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механізмів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4386" w:rsidRPr="00BD3AD4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4386" w:rsidRPr="00776BC5" w:rsidTr="006E3A0F">
        <w:tc>
          <w:tcPr>
            <w:tcW w:w="959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gridSpan w:val="2"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повірки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на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відповідний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визначеному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органі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:rsidR="00A44386" w:rsidRPr="00BD3AD4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4386" w:rsidRPr="00776BC5" w:rsidTr="006E3A0F">
        <w:tc>
          <w:tcPr>
            <w:tcW w:w="959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gridSpan w:val="2"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3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  <w:p w:rsidR="00A44386" w:rsidRPr="0023638E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4386" w:rsidRPr="00776BC5" w:rsidTr="006E3A0F">
        <w:tc>
          <w:tcPr>
            <w:tcW w:w="959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gridSpan w:val="2"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ічне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4386" w:rsidRPr="00BD3AD4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4386" w:rsidRPr="00776BC5" w:rsidTr="006E3A0F">
        <w:tc>
          <w:tcPr>
            <w:tcW w:w="959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gridSpan w:val="2"/>
          </w:tcPr>
          <w:p w:rsidR="00A44386" w:rsidRPr="00BD5303" w:rsidRDefault="00A44386" w:rsidP="006E3A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процедури: </w:t>
            </w:r>
          </w:p>
          <w:p w:rsidR="00A44386" w:rsidRPr="00BD5303" w:rsidRDefault="00A44386" w:rsidP="006E3A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-роботи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добровільному демонтажу тимчасової споруди</w:t>
            </w: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-повернення</w:t>
            </w:r>
            <w:proofErr w:type="spellEnd"/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демонтованої тимчасової споруди у власність (вартість проведення робіт по демонтажу + зберігання тимчасової споруди за місяць)</w:t>
            </w:r>
          </w:p>
        </w:tc>
        <w:tc>
          <w:tcPr>
            <w:tcW w:w="2994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2600,00</w:t>
            </w: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23800,00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2600,00</w:t>
            </w: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23800,00</w:t>
            </w:r>
          </w:p>
        </w:tc>
        <w:tc>
          <w:tcPr>
            <w:tcW w:w="3312" w:type="dxa"/>
          </w:tcPr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2600,00</w:t>
            </w: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386" w:rsidRPr="00BD5303" w:rsidRDefault="00A44386" w:rsidP="006E3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23800,00</w:t>
            </w:r>
          </w:p>
        </w:tc>
      </w:tr>
      <w:tr w:rsidR="00A44386" w:rsidRPr="00776BC5" w:rsidTr="006E3A0F">
        <w:trPr>
          <w:trHeight w:val="488"/>
        </w:trPr>
        <w:tc>
          <w:tcPr>
            <w:tcW w:w="959" w:type="dxa"/>
            <w:vMerge w:val="restart"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1417" w:type="dxa"/>
            <w:vMerge w:val="restart"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2694" w:type="dxa"/>
          </w:tcPr>
          <w:p w:rsidR="00A44386" w:rsidRPr="00157258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 </w:t>
            </w:r>
            <w:r w:rsidRPr="00157258">
              <w:rPr>
                <w:rFonts w:ascii="Times New Roman" w:hAnsi="Times New Roman" w:cs="Times New Roman"/>
                <w:lang w:val="uk-UA"/>
              </w:rPr>
              <w:t>добровільному демонтажу тимчасової споруди</w:t>
            </w:r>
          </w:p>
        </w:tc>
        <w:tc>
          <w:tcPr>
            <w:tcW w:w="2994" w:type="dxa"/>
            <w:vAlign w:val="center"/>
          </w:tcPr>
          <w:p w:rsidR="00A4438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2636,11</w:t>
            </w:r>
          </w:p>
        </w:tc>
        <w:tc>
          <w:tcPr>
            <w:tcW w:w="3312" w:type="dxa"/>
            <w:vAlign w:val="center"/>
          </w:tcPr>
          <w:p w:rsidR="00A4438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2636,11</w:t>
            </w:r>
          </w:p>
        </w:tc>
        <w:tc>
          <w:tcPr>
            <w:tcW w:w="3312" w:type="dxa"/>
            <w:vAlign w:val="center"/>
          </w:tcPr>
          <w:p w:rsidR="00A4438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2636,11</w:t>
            </w:r>
          </w:p>
        </w:tc>
      </w:tr>
      <w:tr w:rsidR="00A44386" w:rsidRPr="00776BC5" w:rsidTr="006E3A0F">
        <w:trPr>
          <w:trHeight w:val="487"/>
        </w:trPr>
        <w:tc>
          <w:tcPr>
            <w:tcW w:w="959" w:type="dxa"/>
            <w:vMerge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через розпорядження</w:t>
            </w:r>
          </w:p>
        </w:tc>
        <w:tc>
          <w:tcPr>
            <w:tcW w:w="2994" w:type="dxa"/>
            <w:vAlign w:val="center"/>
          </w:tcPr>
          <w:p w:rsidR="00A4438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23836,11</w:t>
            </w:r>
          </w:p>
        </w:tc>
        <w:tc>
          <w:tcPr>
            <w:tcW w:w="3312" w:type="dxa"/>
            <w:vAlign w:val="center"/>
          </w:tcPr>
          <w:p w:rsidR="00A4438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23836,11</w:t>
            </w:r>
          </w:p>
        </w:tc>
        <w:tc>
          <w:tcPr>
            <w:tcW w:w="3312" w:type="dxa"/>
            <w:vAlign w:val="center"/>
          </w:tcPr>
          <w:p w:rsidR="00A4438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23836,11</w:t>
            </w:r>
          </w:p>
        </w:tc>
      </w:tr>
      <w:tr w:rsidR="00A44386" w:rsidRPr="00776BC5" w:rsidTr="006E3A0F">
        <w:tc>
          <w:tcPr>
            <w:tcW w:w="959" w:type="dxa"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111" w:type="dxa"/>
            <w:gridSpan w:val="2"/>
          </w:tcPr>
          <w:p w:rsidR="00A44386" w:rsidRPr="008E4DBC" w:rsidRDefault="00A44386" w:rsidP="006E3A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6245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E96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245">
              <w:rPr>
                <w:rFonts w:ascii="Times New Roman" w:hAnsi="Times New Roman" w:cs="Times New Roman"/>
              </w:rPr>
              <w:t>суб'єктів</w:t>
            </w:r>
            <w:proofErr w:type="spellEnd"/>
            <w:r w:rsidRPr="00E96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245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E96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6245">
              <w:rPr>
                <w:rFonts w:ascii="Times New Roman" w:hAnsi="Times New Roman" w:cs="Times New Roman"/>
              </w:rPr>
              <w:t>що</w:t>
            </w:r>
            <w:proofErr w:type="spellEnd"/>
            <w:r w:rsidRPr="00E96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245">
              <w:rPr>
                <w:rFonts w:ascii="Times New Roman" w:hAnsi="Times New Roman" w:cs="Times New Roman"/>
              </w:rPr>
              <w:t>повинні</w:t>
            </w:r>
            <w:proofErr w:type="spellEnd"/>
            <w:r w:rsidRPr="00E96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245">
              <w:rPr>
                <w:rFonts w:ascii="Times New Roman" w:hAnsi="Times New Roman" w:cs="Times New Roman"/>
              </w:rPr>
              <w:t>виконати</w:t>
            </w:r>
            <w:proofErr w:type="spellEnd"/>
            <w:r w:rsidRPr="00E96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245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E96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245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E96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6245">
              <w:rPr>
                <w:rFonts w:ascii="Times New Roman" w:hAnsi="Times New Roman" w:cs="Times New Roman"/>
              </w:rPr>
              <w:t>одиниць</w:t>
            </w:r>
            <w:proofErr w:type="spellEnd"/>
          </w:p>
        </w:tc>
        <w:tc>
          <w:tcPr>
            <w:tcW w:w="9618" w:type="dxa"/>
            <w:gridSpan w:val="3"/>
            <w:vAlign w:val="center"/>
          </w:tcPr>
          <w:p w:rsidR="00A4438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</w:tr>
      <w:tr w:rsidR="00A44386" w:rsidRPr="00776BC5" w:rsidTr="006E3A0F">
        <w:trPr>
          <w:trHeight w:val="870"/>
        </w:trPr>
        <w:tc>
          <w:tcPr>
            <w:tcW w:w="959" w:type="dxa"/>
            <w:vMerge w:val="restart"/>
          </w:tcPr>
          <w:p w:rsidR="00A44386" w:rsidRPr="00776BC5" w:rsidRDefault="00A44386" w:rsidP="006E3A0F">
            <w:pPr>
              <w:jc w:val="both"/>
              <w:rPr>
                <w:rFonts w:ascii="Times New Roman" w:hAnsi="Times New Roman" w:cs="Times New Roman"/>
              </w:rPr>
            </w:pPr>
          </w:p>
          <w:p w:rsidR="00A44386" w:rsidRPr="00EF0EAE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111" w:type="dxa"/>
            <w:gridSpan w:val="2"/>
            <w:vMerge w:val="restart"/>
          </w:tcPr>
          <w:p w:rsidR="00A44386" w:rsidRPr="007B383B" w:rsidRDefault="00A44386" w:rsidP="006E3A0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B383B">
              <w:rPr>
                <w:rFonts w:ascii="Times New Roman" w:hAnsi="Times New Roman" w:cs="Times New Roman"/>
                <w:b/>
              </w:rPr>
              <w:t>Сумарно</w:t>
            </w:r>
            <w:proofErr w:type="spellEnd"/>
            <w:r w:rsidRPr="007B383B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A44386" w:rsidRPr="00776BC5" w:rsidRDefault="00A44386" w:rsidP="006E3A0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76BC5">
              <w:rPr>
                <w:rFonts w:ascii="Times New Roman" w:hAnsi="Times New Roman" w:cs="Times New Roman"/>
                <w:i/>
              </w:rPr>
              <w:t>Формула:</w:t>
            </w:r>
          </w:p>
          <w:p w:rsidR="00A44386" w:rsidRPr="00776BC5" w:rsidRDefault="00A44386" w:rsidP="006E3A0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  <w:i/>
              </w:rPr>
              <w:t>відповідний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  <w:i/>
              </w:rPr>
              <w:t>стовпчик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 "разом" Х </w:t>
            </w:r>
            <w:proofErr w:type="spellStart"/>
            <w:r w:rsidRPr="00776BC5">
              <w:rPr>
                <w:rFonts w:ascii="Times New Roman" w:hAnsi="Times New Roman" w:cs="Times New Roman"/>
                <w:i/>
              </w:rPr>
              <w:t>кількість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  <w:i/>
              </w:rPr>
              <w:t>суб'єктів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 малого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776BC5">
              <w:rPr>
                <w:rFonts w:ascii="Times New Roman" w:hAnsi="Times New Roman" w:cs="Times New Roman"/>
                <w:i/>
              </w:rPr>
              <w:t>ідприємництва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76BC5"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  <w:i/>
              </w:rPr>
              <w:t>повинні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  <w:i/>
              </w:rPr>
              <w:t>виконати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  <w:i/>
              </w:rPr>
              <w:t>вимоги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  <w:i/>
              </w:rPr>
              <w:t>регулювання</w:t>
            </w:r>
            <w:proofErr w:type="spellEnd"/>
            <w:r w:rsidRPr="00776BC5">
              <w:rPr>
                <w:rFonts w:ascii="Times New Roman" w:hAnsi="Times New Roman" w:cs="Times New Roman"/>
                <w:i/>
              </w:rPr>
              <w:t xml:space="preserve"> (рядок 6 Х рядок 7)</w:t>
            </w:r>
          </w:p>
        </w:tc>
        <w:tc>
          <w:tcPr>
            <w:tcW w:w="2994" w:type="dxa"/>
            <w:vAlign w:val="center"/>
          </w:tcPr>
          <w:p w:rsidR="00A44386" w:rsidRPr="00463EE9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292608,21</w:t>
            </w:r>
          </w:p>
        </w:tc>
        <w:tc>
          <w:tcPr>
            <w:tcW w:w="331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292608,21</w:t>
            </w:r>
          </w:p>
        </w:tc>
        <w:tc>
          <w:tcPr>
            <w:tcW w:w="331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292608,21</w:t>
            </w:r>
          </w:p>
        </w:tc>
      </w:tr>
      <w:tr w:rsidR="00A44386" w:rsidRPr="00776BC5" w:rsidTr="006E3A0F">
        <w:trPr>
          <w:trHeight w:val="870"/>
        </w:trPr>
        <w:tc>
          <w:tcPr>
            <w:tcW w:w="959" w:type="dxa"/>
            <w:vMerge/>
          </w:tcPr>
          <w:p w:rsidR="00A44386" w:rsidRPr="00776BC5" w:rsidRDefault="00A44386" w:rsidP="006E3A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A44386" w:rsidRPr="007B383B" w:rsidRDefault="00A44386" w:rsidP="006E3A0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vAlign w:val="center"/>
          </w:tcPr>
          <w:p w:rsidR="00A44386" w:rsidRPr="00463EE9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2645808,21</w:t>
            </w:r>
          </w:p>
        </w:tc>
        <w:tc>
          <w:tcPr>
            <w:tcW w:w="331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2645808,21</w:t>
            </w:r>
          </w:p>
        </w:tc>
        <w:tc>
          <w:tcPr>
            <w:tcW w:w="331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2645808,21</w:t>
            </w:r>
          </w:p>
        </w:tc>
      </w:tr>
      <w:tr w:rsidR="00A44386" w:rsidRPr="00EF5A2B" w:rsidTr="006E3A0F">
        <w:tc>
          <w:tcPr>
            <w:tcW w:w="14688" w:type="dxa"/>
            <w:gridSpan w:val="6"/>
          </w:tcPr>
          <w:p w:rsidR="00A44386" w:rsidRPr="007B383B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  <w:r w:rsidRPr="007B383B">
              <w:rPr>
                <w:rFonts w:ascii="Times New Roman" w:hAnsi="Times New Roman" w:cs="Times New Roman"/>
                <w:lang w:val="uk-UA"/>
              </w:rPr>
              <w:t xml:space="preserve">ПРИМІТКА: </w:t>
            </w:r>
            <w:r w:rsidRPr="00BD3AD4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 </w:t>
            </w:r>
            <w:r w:rsidRPr="001F2853">
              <w:rPr>
                <w:rFonts w:ascii="Times New Roman" w:hAnsi="Times New Roman" w:cs="Times New Roman"/>
                <w:vertAlign w:val="superscript"/>
                <w:lang w:val="uk-UA"/>
              </w:rPr>
              <w:t>–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</w:t>
            </w:r>
            <w:r w:rsidRPr="007B383B">
              <w:rPr>
                <w:rFonts w:ascii="Times New Roman" w:hAnsi="Times New Roman" w:cs="Times New Roman"/>
                <w:lang w:val="uk-UA"/>
              </w:rPr>
              <w:t>Витрати здійснюються одноразово у  перший рік прийняття регуляторного акта</w:t>
            </w:r>
          </w:p>
          <w:p w:rsidR="00A44386" w:rsidRPr="007B383B" w:rsidRDefault="00A44386" w:rsidP="006E3A0F">
            <w:pPr>
              <w:ind w:left="1276"/>
              <w:rPr>
                <w:rFonts w:ascii="Times New Roman" w:hAnsi="Times New Roman" w:cs="Times New Roman"/>
                <w:lang w:val="uk-UA"/>
              </w:rPr>
            </w:pPr>
            <w:r w:rsidRPr="00BD3AD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  <w:r w:rsidRPr="007B38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853">
              <w:rPr>
                <w:rFonts w:ascii="Times New Roman" w:hAnsi="Times New Roman" w:cs="Times New Roman"/>
                <w:lang w:val="uk-UA"/>
              </w:rPr>
              <w:t>–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383B">
              <w:rPr>
                <w:rFonts w:ascii="Times New Roman" w:hAnsi="Times New Roman" w:cs="Times New Roman"/>
                <w:lang w:val="uk-UA"/>
              </w:rPr>
              <w:t>Відповідно  до статті 8 Закону України  « Про Державний бюджет України на 2021 рік» у 2021 році мінімальна заробітна плата у погодинному розмірі становить 36,11 гривні.</w:t>
            </w:r>
          </w:p>
          <w:p w:rsidR="00A44386" w:rsidRPr="00B44536" w:rsidRDefault="00A44386" w:rsidP="006E3A0F">
            <w:pPr>
              <w:ind w:left="1276"/>
              <w:rPr>
                <w:rFonts w:ascii="Times New Roman" w:hAnsi="Times New Roman" w:cs="Times New Roman"/>
                <w:lang w:val="uk-UA"/>
              </w:rPr>
            </w:pPr>
            <w:r w:rsidRPr="00BD3AD4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</w:t>
            </w:r>
            <w:r w:rsidRPr="001F2853">
              <w:rPr>
                <w:rFonts w:ascii="Times New Roman" w:hAnsi="Times New Roman" w:cs="Times New Roman"/>
                <w:vertAlign w:val="superscript"/>
                <w:lang w:val="uk-UA"/>
              </w:rPr>
              <w:t>–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</w:t>
            </w:r>
            <w:r w:rsidRPr="007B383B">
              <w:rPr>
                <w:rFonts w:ascii="Times New Roman" w:hAnsi="Times New Roman" w:cs="Times New Roman"/>
                <w:lang w:val="uk-UA"/>
              </w:rPr>
              <w:t>Інформація про «прямі» витрати  є оціночною і отримана за результатами проведених консультацій.</w:t>
            </w:r>
          </w:p>
        </w:tc>
      </w:tr>
    </w:tbl>
    <w:p w:rsidR="00A44386" w:rsidRDefault="00A44386" w:rsidP="00A44386">
      <w:pPr>
        <w:rPr>
          <w:rFonts w:ascii="Times New Roman" w:hAnsi="Times New Roman" w:cs="Times New Roman"/>
          <w:b/>
          <w:lang w:val="uk-UA"/>
        </w:rPr>
      </w:pPr>
    </w:p>
    <w:p w:rsidR="00A44386" w:rsidRPr="008A2848" w:rsidRDefault="00A44386" w:rsidP="00A44386">
      <w:pPr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A2848">
        <w:rPr>
          <w:rFonts w:ascii="Times New Roman" w:hAnsi="Times New Roman" w:cs="Times New Roman"/>
          <w:b/>
          <w:sz w:val="28"/>
          <w:szCs w:val="28"/>
          <w:lang w:val="uk-UA"/>
        </w:rPr>
        <w:t>.  Бюджетні витрати на адміністрування регулювання суб’єктів  малого підприємництва</w:t>
      </w:r>
    </w:p>
    <w:p w:rsidR="00A44386" w:rsidRPr="00BD3AD4" w:rsidRDefault="00A44386" w:rsidP="00A4438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3AD4">
        <w:rPr>
          <w:rFonts w:ascii="Times New Roman" w:hAnsi="Times New Roman" w:cs="Times New Roman"/>
          <w:sz w:val="24"/>
          <w:szCs w:val="24"/>
          <w:lang w:val="uk-UA"/>
        </w:rPr>
        <w:t>Державний орган, для якого здійснюється розрахунок вартості адміністрування регулювання:  Лисичанська міська військово-цивільна адміністрація, а саме: управління будівництва та архітектури ВЦА,   комунальні підприємства ( саме на них  покладено функцію моніторингу порушень щодо розміщення тимчасових споруд на території Лисичанської міської територіальної громади, прийняття рішень щодо демонтажу ТС, проведення робот по демонтажу ТС)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052"/>
        <w:gridCol w:w="2052"/>
        <w:gridCol w:w="2052"/>
        <w:gridCol w:w="2052"/>
        <w:gridCol w:w="2052"/>
      </w:tblGrid>
      <w:tr w:rsidR="00A44386" w:rsidRPr="00776BC5" w:rsidTr="006E3A0F">
        <w:trPr>
          <w:trHeight w:val="2052"/>
        </w:trPr>
        <w:tc>
          <w:tcPr>
            <w:tcW w:w="4428" w:type="dxa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 xml:space="preserve">Процедура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суб'єктів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малого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п</w:t>
            </w:r>
            <w:proofErr w:type="gramEnd"/>
            <w:r w:rsidRPr="00776BC5">
              <w:rPr>
                <w:rFonts w:ascii="Times New Roman" w:hAnsi="Times New Roman" w:cs="Times New Roman"/>
              </w:rPr>
              <w:t>ідприємництва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розрахунок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на одного типового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суб'єкта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малого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підприємництва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- за потреби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окремо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суб'єктів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малого та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мікропідприємництв</w:t>
            </w:r>
            <w:proofErr w:type="spellEnd"/>
            <w:r w:rsidRPr="00776B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2" w:type="dxa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Планові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витрати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часу на процедуру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76BC5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</w:p>
        </w:tc>
        <w:tc>
          <w:tcPr>
            <w:tcW w:w="2052" w:type="dxa"/>
          </w:tcPr>
          <w:p w:rsidR="00A44386" w:rsidRPr="00EC785D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Вартість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часу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співробітника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органу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державної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відповідної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категорії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76BC5">
              <w:rPr>
                <w:rFonts w:ascii="Times New Roman" w:hAnsi="Times New Roman" w:cs="Times New Roman"/>
              </w:rPr>
              <w:t>заробітна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плата)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2052" w:type="dxa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Оцінка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кількості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процедур за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р</w:t>
            </w:r>
            <w:proofErr w:type="gramEnd"/>
            <w:r w:rsidRPr="00776BC5">
              <w:rPr>
                <w:rFonts w:ascii="Times New Roman" w:hAnsi="Times New Roman" w:cs="Times New Roman"/>
              </w:rPr>
              <w:t>ік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що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припадають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на одного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суб'єкта</w:t>
            </w:r>
            <w:proofErr w:type="spellEnd"/>
          </w:p>
        </w:tc>
        <w:tc>
          <w:tcPr>
            <w:tcW w:w="2052" w:type="dxa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Оцінка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кількості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суб'єктів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що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підпадають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під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д</w:t>
            </w:r>
            <w:proofErr w:type="gramEnd"/>
            <w:r w:rsidRPr="00776BC5">
              <w:rPr>
                <w:rFonts w:ascii="Times New Roman" w:hAnsi="Times New Roman" w:cs="Times New Roman"/>
              </w:rPr>
              <w:t>ію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процедури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</w:p>
        </w:tc>
        <w:tc>
          <w:tcPr>
            <w:tcW w:w="2052" w:type="dxa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Витрати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адм</w:t>
            </w:r>
            <w:proofErr w:type="gramEnd"/>
            <w:r w:rsidRPr="00776BC5">
              <w:rPr>
                <w:rFonts w:ascii="Times New Roman" w:hAnsi="Times New Roman" w:cs="Times New Roman"/>
              </w:rPr>
              <w:t>ін</w:t>
            </w:r>
            <w:r>
              <w:rPr>
                <w:rFonts w:ascii="Times New Roman" w:hAnsi="Times New Roman" w:cs="Times New Roman"/>
              </w:rPr>
              <w:t>істрування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(за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рік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гривень</w:t>
            </w:r>
            <w:proofErr w:type="spellEnd"/>
          </w:p>
        </w:tc>
      </w:tr>
      <w:tr w:rsidR="00A44386" w:rsidRPr="00776BC5" w:rsidTr="006E3A0F">
        <w:tc>
          <w:tcPr>
            <w:tcW w:w="4428" w:type="dxa"/>
          </w:tcPr>
          <w:p w:rsidR="00A44386" w:rsidRPr="00121D6C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uk-UA"/>
              </w:rPr>
              <w:t>Облік суб’єкта господарювання, що перебуває у сфері регулювання ( надання консультативних послуг, внесення відомостей в базу даних)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45,83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5A161B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5087,13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uk-UA"/>
              </w:rPr>
              <w:t>Моніторинг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суб'єкт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що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перебуває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, у тому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776B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45,83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5A161B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5087,13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к</w:t>
            </w:r>
            <w:proofErr w:type="spellStart"/>
            <w:r w:rsidRPr="00776BC5">
              <w:rPr>
                <w:rFonts w:ascii="Times New Roman" w:hAnsi="Times New Roman" w:cs="Times New Roman"/>
              </w:rPr>
              <w:t>амеральні</w:t>
            </w:r>
            <w:proofErr w:type="spellEnd"/>
            <w:r w:rsidRPr="00776BC5">
              <w:rPr>
                <w:rFonts w:ascii="Times New Roman" w:hAnsi="Times New Roman" w:cs="Times New Roman"/>
                <w:lang w:val="uk-UA"/>
              </w:rPr>
              <w:t xml:space="preserve"> (перевірка </w:t>
            </w:r>
            <w:r>
              <w:rPr>
                <w:rFonts w:ascii="Times New Roman" w:hAnsi="Times New Roman" w:cs="Times New Roman"/>
                <w:lang w:val="uk-UA"/>
              </w:rPr>
              <w:t>наявності правовстановлюючих  документів)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22,92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5A161B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2544,12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виїзні</w:t>
            </w:r>
            <w:proofErr w:type="spellEnd"/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2052" w:type="dxa"/>
            <w:vAlign w:val="center"/>
          </w:tcPr>
          <w:p w:rsidR="00A44386" w:rsidRPr="00145FF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22,91</w:t>
            </w:r>
          </w:p>
        </w:tc>
        <w:tc>
          <w:tcPr>
            <w:tcW w:w="2052" w:type="dxa"/>
            <w:vAlign w:val="center"/>
          </w:tcPr>
          <w:p w:rsidR="00A44386" w:rsidRPr="00145FF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145FF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5A161B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2543,01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П</w:t>
            </w:r>
            <w:proofErr w:type="gramEnd"/>
            <w:r w:rsidRPr="00776BC5">
              <w:rPr>
                <w:rFonts w:ascii="Times New Roman" w:hAnsi="Times New Roman" w:cs="Times New Roman"/>
              </w:rPr>
              <w:t>ідготовка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опрацювання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одного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окремого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акта про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порушення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вимог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</w:p>
        </w:tc>
        <w:tc>
          <w:tcPr>
            <w:tcW w:w="2052" w:type="dxa"/>
            <w:vAlign w:val="center"/>
          </w:tcPr>
          <w:p w:rsidR="00A44386" w:rsidRPr="007C7B7A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45,83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5A161B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5087,13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Реалізація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одного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окремого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р</w:t>
            </w:r>
            <w:proofErr w:type="gramEnd"/>
            <w:r w:rsidRPr="00776BC5">
              <w:rPr>
                <w:rFonts w:ascii="Times New Roman" w:hAnsi="Times New Roman" w:cs="Times New Roman"/>
              </w:rPr>
              <w:t>ішення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щодо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порушення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вимог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45,83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8A2848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5087,13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Оскарження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одного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окремого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р</w:t>
            </w:r>
            <w:proofErr w:type="gramEnd"/>
            <w:r w:rsidRPr="00776BC5">
              <w:rPr>
                <w:rFonts w:ascii="Times New Roman" w:hAnsi="Times New Roman" w:cs="Times New Roman"/>
              </w:rPr>
              <w:t>ішення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суб'єктами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господарювання</w:t>
            </w:r>
            <w:proofErr w:type="spellEnd"/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052" w:type="dxa"/>
            <w:vAlign w:val="center"/>
          </w:tcPr>
          <w:p w:rsidR="00A44386" w:rsidRPr="007C7B7A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91,66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C7B7A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CB524F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10174,26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rPr>
          <w:trHeight w:val="607"/>
        </w:trPr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П</w:t>
            </w:r>
            <w:proofErr w:type="gramEnd"/>
            <w:r w:rsidRPr="00776BC5">
              <w:rPr>
                <w:rFonts w:ascii="Times New Roman" w:hAnsi="Times New Roman" w:cs="Times New Roman"/>
              </w:rPr>
              <w:t>ідготовка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звітності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за результатами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776BC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183,32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DC2B56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CB524F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uk-UA"/>
              </w:rPr>
              <w:t>20348,52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Разом:</w:t>
            </w:r>
          </w:p>
          <w:p w:rsidR="00A44386" w:rsidRPr="00776BC5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 xml:space="preserve">7.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Інші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адм</w:t>
            </w:r>
            <w:proofErr w:type="gramEnd"/>
            <w:r w:rsidRPr="00776BC5">
              <w:rPr>
                <w:rFonts w:ascii="Times New Roman" w:hAnsi="Times New Roman" w:cs="Times New Roman"/>
              </w:rPr>
              <w:t>іністративні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процедури</w:t>
            </w:r>
            <w:proofErr w:type="spellEnd"/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11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504,13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55958,43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lastRenderedPageBreak/>
              <w:t xml:space="preserve"> </w:t>
            </w:r>
          </w:p>
          <w:p w:rsidR="00A44386" w:rsidRPr="00776BC5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7.1 </w:t>
            </w:r>
            <w:r>
              <w:rPr>
                <w:rFonts w:ascii="Times New Roman" w:hAnsi="Times New Roman" w:cs="Times New Roman"/>
                <w:lang w:val="uk-UA"/>
              </w:rPr>
              <w:t>виконання рішення комісії з питань демонтажу ( направлення припису)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45,83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0406F6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CB524F" w:rsidRDefault="00A44386" w:rsidP="006E3A0F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5087,13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7.2 </w:t>
            </w:r>
            <w:r>
              <w:rPr>
                <w:rFonts w:ascii="Times New Roman" w:hAnsi="Times New Roman" w:cs="Times New Roman"/>
                <w:lang w:val="uk-UA"/>
              </w:rPr>
              <w:t>складання адміністративного протоколу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45,83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CB524F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5087,13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7.3 </w:t>
            </w:r>
            <w:r>
              <w:rPr>
                <w:rFonts w:ascii="Times New Roman" w:hAnsi="Times New Roman" w:cs="Times New Roman"/>
                <w:lang w:val="uk-UA"/>
              </w:rPr>
              <w:t>проведення демонтажу ТС Уповноваженою особою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137,49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CB524F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15261,39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7.4 </w:t>
            </w:r>
            <w:r>
              <w:rPr>
                <w:rFonts w:ascii="Times New Roman" w:hAnsi="Times New Roman" w:cs="Times New Roman"/>
                <w:lang w:val="uk-UA"/>
              </w:rPr>
              <w:t>Проведення процедури повернення демонтованого ТС власнику (користувачу)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91,66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2052" w:type="dxa"/>
            <w:vAlign w:val="center"/>
          </w:tcPr>
          <w:p w:rsidR="00A44386" w:rsidRPr="00CB524F" w:rsidRDefault="00A44386" w:rsidP="006E3A0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10174,26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A44386" w:rsidRPr="00776BC5" w:rsidTr="006E3A0F">
        <w:tc>
          <w:tcPr>
            <w:tcW w:w="4428" w:type="dxa"/>
          </w:tcPr>
          <w:p w:rsidR="00A44386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</w:p>
          <w:p w:rsidR="00A44386" w:rsidRPr="00776BC5" w:rsidRDefault="00A44386" w:rsidP="006E3A0F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Разом за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р</w:t>
            </w:r>
            <w:proofErr w:type="gramEnd"/>
            <w:r w:rsidRPr="00776BC5">
              <w:rPr>
                <w:rFonts w:ascii="Times New Roman" w:hAnsi="Times New Roman" w:cs="Times New Roman"/>
              </w:rPr>
              <w:t>ік</w:t>
            </w:r>
            <w:proofErr w:type="spellEnd"/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  <w:vAlign w:val="center"/>
          </w:tcPr>
          <w:p w:rsidR="00A44386" w:rsidRPr="00F20F67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91568,34</w:t>
            </w:r>
          </w:p>
        </w:tc>
      </w:tr>
      <w:tr w:rsidR="00A44386" w:rsidRPr="00776BC5" w:rsidTr="006E3A0F">
        <w:trPr>
          <w:trHeight w:val="553"/>
        </w:trPr>
        <w:tc>
          <w:tcPr>
            <w:tcW w:w="4428" w:type="dxa"/>
          </w:tcPr>
          <w:p w:rsidR="00A44386" w:rsidRPr="00776BC5" w:rsidRDefault="00A44386" w:rsidP="006E3A0F">
            <w:pPr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Сумарно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п'ять</w:t>
            </w:r>
            <w:proofErr w:type="spellEnd"/>
            <w:proofErr w:type="gram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років</w:t>
            </w:r>
            <w:proofErr w:type="spellEnd"/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  <w:vAlign w:val="center"/>
          </w:tcPr>
          <w:p w:rsidR="00A44386" w:rsidRPr="00F20F67" w:rsidRDefault="00A44386" w:rsidP="006E3A0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457841,70</w:t>
            </w:r>
          </w:p>
        </w:tc>
      </w:tr>
    </w:tbl>
    <w:p w:rsidR="00A44386" w:rsidRDefault="00A44386" w:rsidP="00A44386">
      <w:pPr>
        <w:jc w:val="both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ПРИМІТКА:</w:t>
      </w:r>
    </w:p>
    <w:p w:rsidR="00A44386" w:rsidRPr="005058FA" w:rsidRDefault="00A44386" w:rsidP="00A443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vertAlign w:val="superscript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 – </w:t>
      </w:r>
      <w:r w:rsidRPr="005058FA">
        <w:rPr>
          <w:rFonts w:ascii="Times New Roman" w:hAnsi="Times New Roman" w:cs="Times New Roman"/>
          <w:sz w:val="24"/>
          <w:szCs w:val="24"/>
          <w:lang w:val="uk-UA"/>
        </w:rPr>
        <w:t>Вартість н/г розрахована згідно зі Схемою посадових окладів на посадах керівних працівників і спеціалістів департаментів, управлінь, відділів, інших виконавчих органів міських (крім мм. Києва та Севастополя), селищних, сільських рад, затвердженою  постановою Кабінету Міністрів України від 9 березня 2006 р. № 268 (в редакції постанови Кабінету Міністрів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8FA">
        <w:rPr>
          <w:rFonts w:ascii="Times New Roman" w:hAnsi="Times New Roman" w:cs="Times New Roman"/>
          <w:sz w:val="24"/>
          <w:szCs w:val="24"/>
          <w:lang w:val="uk-UA"/>
        </w:rPr>
        <w:t>від 28 липня 2021 р. № 783)  (1н/г=7700:21:8=45,83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5058F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44386" w:rsidRPr="005058FA" w:rsidRDefault="00A44386" w:rsidP="00A443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vertAlign w:val="superscript"/>
          <w:lang w:val="uk-UA"/>
        </w:rPr>
        <w:t xml:space="preserve">2  </w:t>
      </w:r>
      <w:r>
        <w:rPr>
          <w:rFonts w:ascii="Times New Roman" w:hAnsi="Times New Roman" w:cs="Times New Roman"/>
          <w:lang w:val="uk-UA"/>
        </w:rPr>
        <w:t xml:space="preserve">- </w:t>
      </w:r>
      <w:r w:rsidRPr="005058FA">
        <w:rPr>
          <w:rFonts w:ascii="Times New Roman" w:hAnsi="Times New Roman" w:cs="Times New Roman"/>
          <w:sz w:val="24"/>
          <w:szCs w:val="24"/>
          <w:lang w:val="uk-UA"/>
        </w:rPr>
        <w:t>Витрати здійснюються одноразово в перший рік.</w:t>
      </w:r>
    </w:p>
    <w:p w:rsidR="00A44386" w:rsidRDefault="00A44386" w:rsidP="00A44386">
      <w:pPr>
        <w:jc w:val="both"/>
        <w:rPr>
          <w:rFonts w:ascii="Times New Roman" w:hAnsi="Times New Roman" w:cs="Times New Roman"/>
          <w:lang w:val="uk-UA"/>
        </w:rPr>
      </w:pPr>
      <w:r w:rsidRPr="005058F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5058FA">
        <w:rPr>
          <w:rFonts w:ascii="Times New Roman" w:hAnsi="Times New Roman" w:cs="Times New Roman"/>
          <w:sz w:val="24"/>
          <w:szCs w:val="24"/>
          <w:lang w:val="uk-UA"/>
        </w:rPr>
        <w:t xml:space="preserve"> – Витрати здійснюються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постійно на весь термін дії регуляторного акта</w:t>
      </w:r>
      <w:r w:rsidRPr="005058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4386" w:rsidRPr="0048681C" w:rsidRDefault="00A44386" w:rsidP="00A44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1C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48681C">
        <w:rPr>
          <w:rFonts w:ascii="Times New Roman" w:hAnsi="Times New Roman" w:cs="Times New Roman"/>
          <w:sz w:val="28"/>
          <w:szCs w:val="28"/>
        </w:rPr>
        <w:t>ержавне</w:t>
      </w:r>
      <w:proofErr w:type="spellEnd"/>
      <w:r w:rsidRPr="0048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81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8681C">
        <w:rPr>
          <w:rFonts w:ascii="Times New Roman" w:hAnsi="Times New Roman" w:cs="Times New Roman"/>
          <w:sz w:val="28"/>
          <w:szCs w:val="28"/>
        </w:rPr>
        <w:t xml:space="preserve"> </w:t>
      </w:r>
      <w:r w:rsidRPr="0048681C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48681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8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81C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48681C">
        <w:rPr>
          <w:rFonts w:ascii="Times New Roman" w:hAnsi="Times New Roman" w:cs="Times New Roman"/>
          <w:sz w:val="28"/>
          <w:szCs w:val="28"/>
        </w:rPr>
        <w:t xml:space="preserve"> нового державного органу (</w:t>
      </w:r>
      <w:proofErr w:type="spellStart"/>
      <w:r w:rsidRPr="0048681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8681C">
        <w:rPr>
          <w:rFonts w:ascii="Times New Roman" w:hAnsi="Times New Roman" w:cs="Times New Roman"/>
          <w:sz w:val="28"/>
          <w:szCs w:val="28"/>
        </w:rPr>
        <w:t xml:space="preserve"> нового структурного </w:t>
      </w:r>
      <w:proofErr w:type="spellStart"/>
      <w:r w:rsidRPr="0048681C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48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81C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48681C">
        <w:rPr>
          <w:rFonts w:ascii="Times New Roman" w:hAnsi="Times New Roman" w:cs="Times New Roman"/>
          <w:sz w:val="28"/>
          <w:szCs w:val="28"/>
        </w:rPr>
        <w:t xml:space="preserve"> органу</w:t>
      </w:r>
    </w:p>
    <w:p w:rsidR="00A44386" w:rsidRPr="00D72F3C" w:rsidRDefault="00A44386" w:rsidP="00A44386">
      <w:pPr>
        <w:jc w:val="both"/>
        <w:rPr>
          <w:rFonts w:ascii="Times New Roman" w:hAnsi="Times New Roman" w:cs="Times New Roman"/>
          <w:lang w:val="uk-UA"/>
        </w:rPr>
      </w:pPr>
    </w:p>
    <w:p w:rsidR="00A44386" w:rsidRDefault="00A44386" w:rsidP="00A4438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A44386" w:rsidRDefault="00A44386" w:rsidP="00A443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8A2848">
        <w:rPr>
          <w:rFonts w:ascii="Times New Roman" w:hAnsi="Times New Roman" w:cs="Times New Roman"/>
          <w:b/>
          <w:sz w:val="28"/>
          <w:szCs w:val="28"/>
        </w:rPr>
        <w:t>Розрахунок</w:t>
      </w:r>
      <w:proofErr w:type="spellEnd"/>
      <w:r w:rsidRPr="008A2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848">
        <w:rPr>
          <w:rFonts w:ascii="Times New Roman" w:hAnsi="Times New Roman" w:cs="Times New Roman"/>
          <w:b/>
          <w:sz w:val="28"/>
          <w:szCs w:val="28"/>
        </w:rPr>
        <w:t>сумарних</w:t>
      </w:r>
      <w:proofErr w:type="spellEnd"/>
      <w:r w:rsidRPr="008A2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848">
        <w:rPr>
          <w:rFonts w:ascii="Times New Roman" w:hAnsi="Times New Roman" w:cs="Times New Roman"/>
          <w:b/>
          <w:sz w:val="28"/>
          <w:szCs w:val="28"/>
        </w:rPr>
        <w:t>витрат</w:t>
      </w:r>
      <w:proofErr w:type="spellEnd"/>
      <w:r w:rsidRPr="008A2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848">
        <w:rPr>
          <w:rFonts w:ascii="Times New Roman" w:hAnsi="Times New Roman" w:cs="Times New Roman"/>
          <w:b/>
          <w:sz w:val="28"/>
          <w:szCs w:val="28"/>
        </w:rPr>
        <w:t>суб'єктів</w:t>
      </w:r>
      <w:proofErr w:type="spellEnd"/>
      <w:r w:rsidRPr="008A2848">
        <w:rPr>
          <w:rFonts w:ascii="Times New Roman" w:hAnsi="Times New Roman" w:cs="Times New Roman"/>
          <w:b/>
          <w:sz w:val="28"/>
          <w:szCs w:val="28"/>
        </w:rPr>
        <w:t xml:space="preserve"> малого </w:t>
      </w:r>
      <w:proofErr w:type="spellStart"/>
      <w:proofErr w:type="gramStart"/>
      <w:r w:rsidRPr="008A28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2848">
        <w:rPr>
          <w:rFonts w:ascii="Times New Roman" w:hAnsi="Times New Roman" w:cs="Times New Roman"/>
          <w:b/>
          <w:sz w:val="28"/>
          <w:szCs w:val="28"/>
        </w:rPr>
        <w:t>ідприємництва</w:t>
      </w:r>
      <w:proofErr w:type="spellEnd"/>
      <w:r w:rsidRPr="008A284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44386" w:rsidRDefault="00A44386" w:rsidP="00A443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A2848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8A2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848">
        <w:rPr>
          <w:rFonts w:ascii="Times New Roman" w:hAnsi="Times New Roman" w:cs="Times New Roman"/>
          <w:b/>
          <w:sz w:val="28"/>
          <w:szCs w:val="28"/>
        </w:rPr>
        <w:t>виникають</w:t>
      </w:r>
      <w:proofErr w:type="spellEnd"/>
      <w:r w:rsidRPr="008A284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A2848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8A2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848">
        <w:rPr>
          <w:rFonts w:ascii="Times New Roman" w:hAnsi="Times New Roman" w:cs="Times New Roman"/>
          <w:b/>
          <w:sz w:val="28"/>
          <w:szCs w:val="28"/>
        </w:rPr>
        <w:t>вимог</w:t>
      </w:r>
      <w:proofErr w:type="spellEnd"/>
      <w:r w:rsidRPr="008A2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848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</w:p>
    <w:p w:rsidR="00A44386" w:rsidRPr="00425DA7" w:rsidRDefault="00A44386" w:rsidP="00A443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020"/>
        <w:gridCol w:w="3060"/>
        <w:gridCol w:w="3060"/>
      </w:tblGrid>
      <w:tr w:rsidR="00A44386" w:rsidRPr="00776BC5" w:rsidTr="006E3A0F">
        <w:tc>
          <w:tcPr>
            <w:tcW w:w="1548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Порядковий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702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Показник</w:t>
            </w:r>
            <w:proofErr w:type="spellEnd"/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Перший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р</w:t>
            </w:r>
            <w:proofErr w:type="gramEnd"/>
            <w:r w:rsidRPr="00776BC5">
              <w:rPr>
                <w:rFonts w:ascii="Times New Roman" w:hAnsi="Times New Roman" w:cs="Times New Roman"/>
              </w:rPr>
              <w:t>ік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стартовий</w:t>
            </w:r>
            <w:proofErr w:type="spellEnd"/>
            <w:r w:rsidRPr="00776B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п'ять</w:t>
            </w:r>
            <w:proofErr w:type="spellEnd"/>
            <w:proofErr w:type="gram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років</w:t>
            </w:r>
            <w:proofErr w:type="spellEnd"/>
          </w:p>
        </w:tc>
      </w:tr>
      <w:tr w:rsidR="00A44386" w:rsidRPr="00776BC5" w:rsidTr="006E3A0F">
        <w:trPr>
          <w:trHeight w:val="590"/>
        </w:trPr>
        <w:tc>
          <w:tcPr>
            <w:tcW w:w="1548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Оцінка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прямих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витрат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суб'єктів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малого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п</w:t>
            </w:r>
            <w:proofErr w:type="gramEnd"/>
            <w:r w:rsidRPr="00776BC5">
              <w:rPr>
                <w:rFonts w:ascii="Times New Roman" w:hAnsi="Times New Roman" w:cs="Times New Roman"/>
              </w:rPr>
              <w:t>ідприємництва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292608,</w:t>
            </w:r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292608,21</w:t>
            </w:r>
          </w:p>
        </w:tc>
      </w:tr>
      <w:tr w:rsidR="00A44386" w:rsidRPr="00776BC5" w:rsidTr="006E3A0F">
        <w:tc>
          <w:tcPr>
            <w:tcW w:w="1548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Оцінка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вартості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адм</w:t>
            </w:r>
            <w:proofErr w:type="gramEnd"/>
            <w:r w:rsidRPr="00776BC5">
              <w:rPr>
                <w:rFonts w:ascii="Times New Roman" w:hAnsi="Times New Roman" w:cs="Times New Roman"/>
              </w:rPr>
              <w:t>іністративних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процедур для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суб'єктів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малого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підприємництва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щодо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звітування</w:t>
            </w:r>
            <w:proofErr w:type="spellEnd"/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4008,21</w:t>
            </w:r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4008,21</w:t>
            </w:r>
          </w:p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44386" w:rsidRPr="00776BC5" w:rsidTr="006E3A0F">
        <w:tc>
          <w:tcPr>
            <w:tcW w:w="1548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Сумарні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витрати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малого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п</w:t>
            </w:r>
            <w:proofErr w:type="gramEnd"/>
            <w:r w:rsidRPr="00776BC5">
              <w:rPr>
                <w:rFonts w:ascii="Times New Roman" w:hAnsi="Times New Roman" w:cs="Times New Roman"/>
              </w:rPr>
              <w:t>ідприємництва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запланованого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296616,42</w:t>
            </w:r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296616,42</w:t>
            </w:r>
          </w:p>
        </w:tc>
      </w:tr>
      <w:tr w:rsidR="00A44386" w:rsidRPr="00776BC5" w:rsidTr="006E3A0F">
        <w:trPr>
          <w:trHeight w:val="585"/>
        </w:trPr>
        <w:tc>
          <w:tcPr>
            <w:tcW w:w="1548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Бюджетні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витрати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776BC5">
              <w:rPr>
                <w:rFonts w:ascii="Times New Roman" w:hAnsi="Times New Roman" w:cs="Times New Roman"/>
              </w:rPr>
              <w:t>адм</w:t>
            </w:r>
            <w:proofErr w:type="gramEnd"/>
            <w:r w:rsidRPr="00776BC5">
              <w:rPr>
                <w:rFonts w:ascii="Times New Roman" w:hAnsi="Times New Roman" w:cs="Times New Roman"/>
              </w:rPr>
              <w:t>іністрування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суб'єктів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малого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підприємництва</w:t>
            </w:r>
            <w:proofErr w:type="spellEnd"/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3A50">
              <w:rPr>
                <w:rFonts w:ascii="Times New Roman" w:hAnsi="Times New Roman" w:cs="Times New Roman"/>
                <w:lang w:val="uk-UA"/>
              </w:rPr>
              <w:t>2645808,21</w:t>
            </w:r>
          </w:p>
        </w:tc>
        <w:tc>
          <w:tcPr>
            <w:tcW w:w="3060" w:type="dxa"/>
            <w:vAlign w:val="center"/>
          </w:tcPr>
          <w:p w:rsidR="00A44386" w:rsidRPr="00DC2B56" w:rsidRDefault="00A44386" w:rsidP="006E3A0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2645808,21</w:t>
            </w:r>
          </w:p>
        </w:tc>
      </w:tr>
      <w:tr w:rsidR="00A44386" w:rsidRPr="00776BC5" w:rsidTr="006E3A0F">
        <w:trPr>
          <w:trHeight w:val="497"/>
        </w:trPr>
        <w:tc>
          <w:tcPr>
            <w:tcW w:w="1548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BC5">
              <w:rPr>
                <w:rFonts w:ascii="Times New Roman" w:hAnsi="Times New Roman" w:cs="Times New Roman"/>
              </w:rPr>
              <w:t>Сумарні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витрати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запланованого</w:t>
            </w:r>
            <w:proofErr w:type="spellEnd"/>
            <w:r w:rsidRPr="00776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BC5">
              <w:rPr>
                <w:rFonts w:ascii="Times New Roman" w:hAnsi="Times New Roman" w:cs="Times New Roman"/>
              </w:rPr>
              <w:t>регулювання</w:t>
            </w:r>
            <w:proofErr w:type="spellEnd"/>
          </w:p>
        </w:tc>
        <w:tc>
          <w:tcPr>
            <w:tcW w:w="3060" w:type="dxa"/>
            <w:vAlign w:val="center"/>
          </w:tcPr>
          <w:p w:rsidR="00A44386" w:rsidRPr="00776BC5" w:rsidRDefault="00A44386" w:rsidP="006E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3400266,33</w:t>
            </w:r>
          </w:p>
        </w:tc>
        <w:tc>
          <w:tcPr>
            <w:tcW w:w="3060" w:type="dxa"/>
            <w:vAlign w:val="center"/>
          </w:tcPr>
          <w:p w:rsidR="00A44386" w:rsidRPr="00DC2B56" w:rsidRDefault="00A44386" w:rsidP="006E3A0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3400266,33</w:t>
            </w:r>
          </w:p>
        </w:tc>
      </w:tr>
    </w:tbl>
    <w:p w:rsidR="00A44386" w:rsidRDefault="00A44386" w:rsidP="00A44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3292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3292C">
        <w:rPr>
          <w:rFonts w:ascii="Times New Roman" w:hAnsi="Times New Roman" w:cs="Times New Roman"/>
          <w:sz w:val="24"/>
          <w:szCs w:val="24"/>
        </w:rPr>
        <w:t>Розроблення</w:t>
      </w:r>
      <w:proofErr w:type="spellEnd"/>
      <w:r w:rsidRPr="00732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2C">
        <w:rPr>
          <w:rFonts w:ascii="Times New Roman" w:hAnsi="Times New Roman" w:cs="Times New Roman"/>
          <w:sz w:val="24"/>
          <w:szCs w:val="24"/>
        </w:rPr>
        <w:t>корегуючих</w:t>
      </w:r>
      <w:proofErr w:type="spellEnd"/>
      <w:r w:rsidRPr="007329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292C">
        <w:rPr>
          <w:rFonts w:ascii="Times New Roman" w:hAnsi="Times New Roman" w:cs="Times New Roman"/>
          <w:sz w:val="24"/>
          <w:szCs w:val="24"/>
        </w:rPr>
        <w:t>пом'якшувальних</w:t>
      </w:r>
      <w:proofErr w:type="spellEnd"/>
      <w:r w:rsidRPr="0073292C">
        <w:rPr>
          <w:rFonts w:ascii="Times New Roman" w:hAnsi="Times New Roman" w:cs="Times New Roman"/>
          <w:sz w:val="24"/>
          <w:szCs w:val="24"/>
        </w:rPr>
        <w:t xml:space="preserve">) заходів для малого </w:t>
      </w:r>
      <w:proofErr w:type="spellStart"/>
      <w:proofErr w:type="gramStart"/>
      <w:r w:rsidRPr="007329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292C">
        <w:rPr>
          <w:rFonts w:ascii="Times New Roman" w:hAnsi="Times New Roman" w:cs="Times New Roman"/>
          <w:sz w:val="24"/>
          <w:szCs w:val="24"/>
        </w:rPr>
        <w:t>ідприємництва</w:t>
      </w:r>
      <w:proofErr w:type="spellEnd"/>
      <w:r w:rsidRPr="00732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2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32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2C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732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2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</w:p>
    <w:p w:rsidR="00A44386" w:rsidRDefault="00A44386" w:rsidP="00A443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данний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час не  передбачається.</w:t>
      </w:r>
    </w:p>
    <w:p w:rsidR="00A44386" w:rsidRDefault="00A44386" w:rsidP="00A44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Перегляд ситуації щодо можливості розроблення  коригуючи заходів буде здійснено під час повторного відстеження результативності регуляторного акта.</w:t>
      </w:r>
    </w:p>
    <w:p w:rsidR="00A44386" w:rsidRPr="00BD3AD4" w:rsidRDefault="00A44386" w:rsidP="00A44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5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0"/>
        <w:gridCol w:w="3240"/>
      </w:tblGrid>
      <w:tr w:rsidR="00A44386" w:rsidRPr="00D72F3C" w:rsidTr="006E3A0F">
        <w:trPr>
          <w:trHeight w:val="399"/>
        </w:trPr>
        <w:tc>
          <w:tcPr>
            <w:tcW w:w="11340" w:type="dxa"/>
          </w:tcPr>
          <w:p w:rsidR="00A44386" w:rsidRPr="00BD3AD4" w:rsidRDefault="00A44386" w:rsidP="006E3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Заступник керівника з питань безпеки та громадського порядку</w:t>
            </w:r>
          </w:p>
          <w:p w:rsidR="00A44386" w:rsidRPr="00BD3AD4" w:rsidRDefault="00A44386" w:rsidP="006E3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3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Лисичанської міської військово-цивільної адміністрації                                                          </w:t>
            </w:r>
          </w:p>
        </w:tc>
        <w:tc>
          <w:tcPr>
            <w:tcW w:w="3240" w:type="dxa"/>
          </w:tcPr>
          <w:p w:rsidR="00A44386" w:rsidRPr="00BD3AD4" w:rsidRDefault="00A44386" w:rsidP="006E3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4386" w:rsidRPr="00BD3AD4" w:rsidRDefault="00A44386" w:rsidP="006E3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 ЧЕРЕВКО</w:t>
            </w:r>
          </w:p>
          <w:p w:rsidR="00A44386" w:rsidRPr="00BD3AD4" w:rsidRDefault="00A44386" w:rsidP="006E3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4386" w:rsidRPr="00BD3AD4" w:rsidRDefault="00A44386" w:rsidP="006E3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44386" w:rsidRPr="00C00A38" w:rsidTr="006E3A0F">
        <w:trPr>
          <w:trHeight w:val="410"/>
        </w:trPr>
        <w:tc>
          <w:tcPr>
            <w:tcW w:w="11340" w:type="dxa"/>
          </w:tcPr>
          <w:p w:rsidR="00A44386" w:rsidRPr="00BD3AD4" w:rsidRDefault="00A44386" w:rsidP="006E3A0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3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A44386" w:rsidRPr="00BD3AD4" w:rsidRDefault="00A44386" w:rsidP="006E3A0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4386" w:rsidRPr="00BD3AD4" w:rsidRDefault="00A44386" w:rsidP="006E3A0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3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Заступник начальника управління будівництва</w:t>
            </w:r>
          </w:p>
          <w:p w:rsidR="00A44386" w:rsidRPr="00BD3AD4" w:rsidRDefault="00A44386" w:rsidP="006E3A0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3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 архітектури</w:t>
            </w:r>
            <w:r w:rsidRPr="00BD3AD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D3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Лисичанської міської військово-цивільної адміністрації                                                                                     </w:t>
            </w:r>
          </w:p>
        </w:tc>
        <w:tc>
          <w:tcPr>
            <w:tcW w:w="3240" w:type="dxa"/>
          </w:tcPr>
          <w:p w:rsidR="00A44386" w:rsidRPr="00BD3AD4" w:rsidRDefault="00A44386" w:rsidP="006E3A0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4386" w:rsidRPr="00BD3AD4" w:rsidRDefault="00A44386" w:rsidP="006E3A0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4386" w:rsidRPr="00BD3AD4" w:rsidRDefault="00A44386" w:rsidP="006E3A0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4386" w:rsidRPr="00BD3AD4" w:rsidRDefault="00A44386" w:rsidP="006E3A0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3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Тетяна КОВАЛЕНКО</w:t>
            </w:r>
          </w:p>
        </w:tc>
      </w:tr>
      <w:tr w:rsidR="00A44386" w:rsidRPr="00C00A38" w:rsidTr="006E3A0F">
        <w:trPr>
          <w:trHeight w:val="345"/>
        </w:trPr>
        <w:tc>
          <w:tcPr>
            <w:tcW w:w="11340" w:type="dxa"/>
          </w:tcPr>
          <w:p w:rsidR="00A44386" w:rsidRPr="00776BC5" w:rsidRDefault="00A44386" w:rsidP="006E3A0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0" w:type="dxa"/>
          </w:tcPr>
          <w:p w:rsidR="00A44386" w:rsidRPr="00776BC5" w:rsidRDefault="00A44386" w:rsidP="006E3A0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44386" w:rsidRPr="00776BC5" w:rsidRDefault="00A44386" w:rsidP="00A44386">
      <w:pPr>
        <w:rPr>
          <w:rFonts w:ascii="Times New Roman" w:hAnsi="Times New Roman" w:cs="Times New Roman"/>
          <w:lang w:val="uk-UA"/>
        </w:rPr>
      </w:pPr>
    </w:p>
    <w:p w:rsidR="00C16A88" w:rsidRPr="00D401DD" w:rsidRDefault="00C16A8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16A88" w:rsidRPr="00D401DD" w:rsidSect="00C06873">
      <w:headerReference w:type="even" r:id="rId10"/>
      <w:headerReference w:type="default" r:id="rId11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2D" w:rsidRDefault="00E6392D" w:rsidP="00372BA3">
      <w:pPr>
        <w:spacing w:after="0" w:line="240" w:lineRule="auto"/>
      </w:pPr>
      <w:r>
        <w:separator/>
      </w:r>
    </w:p>
  </w:endnote>
  <w:endnote w:type="continuationSeparator" w:id="0">
    <w:p w:rsidR="00E6392D" w:rsidRDefault="00E6392D" w:rsidP="0037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2D" w:rsidRDefault="00E6392D" w:rsidP="00372BA3">
      <w:pPr>
        <w:spacing w:after="0" w:line="240" w:lineRule="auto"/>
      </w:pPr>
      <w:r>
        <w:separator/>
      </w:r>
    </w:p>
  </w:footnote>
  <w:footnote w:type="continuationSeparator" w:id="0">
    <w:p w:rsidR="00E6392D" w:rsidRDefault="00E6392D" w:rsidP="0037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850590"/>
      <w:docPartObj>
        <w:docPartGallery w:val="Page Numbers (Top of Page)"/>
        <w:docPartUnique/>
      </w:docPartObj>
    </w:sdtPr>
    <w:sdtEndPr/>
    <w:sdtContent>
      <w:p w:rsidR="00372BA3" w:rsidRDefault="00372B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B0">
          <w:rPr>
            <w:noProof/>
          </w:rPr>
          <w:t>6</w:t>
        </w:r>
        <w:r>
          <w:fldChar w:fldCharType="end"/>
        </w:r>
      </w:p>
    </w:sdtContent>
  </w:sdt>
  <w:p w:rsidR="00372BA3" w:rsidRDefault="00372B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73" w:rsidRDefault="00B74307" w:rsidP="00C0687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6873" w:rsidRDefault="00E639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73" w:rsidRDefault="00B74307" w:rsidP="00C0687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02B0">
      <w:rPr>
        <w:rStyle w:val="aa"/>
        <w:noProof/>
      </w:rPr>
      <w:t>14</w:t>
    </w:r>
    <w:r>
      <w:rPr>
        <w:rStyle w:val="aa"/>
      </w:rPr>
      <w:fldChar w:fldCharType="end"/>
    </w:r>
  </w:p>
  <w:p w:rsidR="00C06873" w:rsidRDefault="00E639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92D"/>
    <w:multiLevelType w:val="hybridMultilevel"/>
    <w:tmpl w:val="7B1C54CC"/>
    <w:lvl w:ilvl="0" w:tplc="1108A0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F1"/>
    <w:rsid w:val="0004424A"/>
    <w:rsid w:val="00061A13"/>
    <w:rsid w:val="00086199"/>
    <w:rsid w:val="001051C2"/>
    <w:rsid w:val="001140E3"/>
    <w:rsid w:val="001A0240"/>
    <w:rsid w:val="001A301E"/>
    <w:rsid w:val="00215CBA"/>
    <w:rsid w:val="0028293E"/>
    <w:rsid w:val="00285D82"/>
    <w:rsid w:val="002B0465"/>
    <w:rsid w:val="00372BA3"/>
    <w:rsid w:val="003A0BC4"/>
    <w:rsid w:val="003D0360"/>
    <w:rsid w:val="003D53BA"/>
    <w:rsid w:val="00423477"/>
    <w:rsid w:val="005003F1"/>
    <w:rsid w:val="00500FD3"/>
    <w:rsid w:val="00533A40"/>
    <w:rsid w:val="0063181D"/>
    <w:rsid w:val="006624F7"/>
    <w:rsid w:val="006B4CF4"/>
    <w:rsid w:val="007918C2"/>
    <w:rsid w:val="007A386F"/>
    <w:rsid w:val="007C4190"/>
    <w:rsid w:val="00815748"/>
    <w:rsid w:val="0087338A"/>
    <w:rsid w:val="008734EB"/>
    <w:rsid w:val="008C0CD5"/>
    <w:rsid w:val="009257D7"/>
    <w:rsid w:val="0097724A"/>
    <w:rsid w:val="00A01AAD"/>
    <w:rsid w:val="00A44386"/>
    <w:rsid w:val="00A86C2A"/>
    <w:rsid w:val="00A9483A"/>
    <w:rsid w:val="00AC5E07"/>
    <w:rsid w:val="00AF3759"/>
    <w:rsid w:val="00B74307"/>
    <w:rsid w:val="00C16A88"/>
    <w:rsid w:val="00C22DA1"/>
    <w:rsid w:val="00C351A3"/>
    <w:rsid w:val="00CC6844"/>
    <w:rsid w:val="00CD2C48"/>
    <w:rsid w:val="00D401DD"/>
    <w:rsid w:val="00D514BF"/>
    <w:rsid w:val="00D700C8"/>
    <w:rsid w:val="00D8696F"/>
    <w:rsid w:val="00DB7884"/>
    <w:rsid w:val="00DE1B8D"/>
    <w:rsid w:val="00E069D2"/>
    <w:rsid w:val="00E32FE4"/>
    <w:rsid w:val="00E502B0"/>
    <w:rsid w:val="00E6392D"/>
    <w:rsid w:val="00EB1244"/>
    <w:rsid w:val="00EC23F8"/>
    <w:rsid w:val="00ED678B"/>
    <w:rsid w:val="00F75D5A"/>
    <w:rsid w:val="00F9637B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1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7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72BA3"/>
  </w:style>
  <w:style w:type="paragraph" w:styleId="a8">
    <w:name w:val="footer"/>
    <w:basedOn w:val="a"/>
    <w:link w:val="a9"/>
    <w:uiPriority w:val="99"/>
    <w:unhideWhenUsed/>
    <w:rsid w:val="0037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BA3"/>
  </w:style>
  <w:style w:type="character" w:styleId="aa">
    <w:name w:val="page number"/>
    <w:basedOn w:val="a0"/>
    <w:rsid w:val="00A44386"/>
  </w:style>
  <w:style w:type="paragraph" w:customStyle="1" w:styleId="rvps2">
    <w:name w:val="rvps2"/>
    <w:basedOn w:val="a"/>
    <w:rsid w:val="00A4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1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7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72BA3"/>
  </w:style>
  <w:style w:type="paragraph" w:styleId="a8">
    <w:name w:val="footer"/>
    <w:basedOn w:val="a"/>
    <w:link w:val="a9"/>
    <w:uiPriority w:val="99"/>
    <w:unhideWhenUsed/>
    <w:rsid w:val="0037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BA3"/>
  </w:style>
  <w:style w:type="character" w:styleId="aa">
    <w:name w:val="page number"/>
    <w:basedOn w:val="a0"/>
    <w:rsid w:val="00A44386"/>
  </w:style>
  <w:style w:type="paragraph" w:customStyle="1" w:styleId="rvps2">
    <w:name w:val="rvps2"/>
    <w:basedOn w:val="a"/>
    <w:rsid w:val="00A4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8EB7-DE98-4E56-BA67-E9EFF24A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9</cp:revision>
  <cp:lastPrinted>2021-08-25T08:14:00Z</cp:lastPrinted>
  <dcterms:created xsi:type="dcterms:W3CDTF">2021-08-16T10:31:00Z</dcterms:created>
  <dcterms:modified xsi:type="dcterms:W3CDTF">2021-09-03T06:30:00Z</dcterms:modified>
</cp:coreProperties>
</file>