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7" w:rsidRPr="000970A0" w:rsidRDefault="00563A15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0.8pt;width:49.4pt;height:59.5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95640760" r:id="rId8"/>
        </w:pict>
      </w:r>
    </w:p>
    <w:p w:rsidR="00410FA7" w:rsidRPr="00053D04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410FA7" w:rsidRPr="00792EB1" w:rsidRDefault="00410FA7" w:rsidP="00A268B9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sz w:val="28"/>
          <w:szCs w:val="28"/>
          <w:lang w:val="uk-UA"/>
        </w:rPr>
      </w:pPr>
      <w:r w:rsidRPr="00053D04">
        <w:rPr>
          <w:b/>
          <w:sz w:val="28"/>
          <w:szCs w:val="28"/>
          <w:lang w:val="uk-UA"/>
        </w:rPr>
        <w:tab/>
      </w:r>
      <w:r w:rsidRPr="001C4C3B">
        <w:rPr>
          <w:b/>
          <w:sz w:val="28"/>
          <w:szCs w:val="28"/>
          <w:lang w:val="uk-UA" w:eastAsia="uk-UA"/>
        </w:rPr>
        <w:t>УКРАЇНА</w:t>
      </w:r>
    </w:p>
    <w:p w:rsidR="005D1345" w:rsidRPr="00CF6FCA" w:rsidRDefault="005D1345" w:rsidP="005D134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D1345" w:rsidRPr="00CF6FCA" w:rsidRDefault="005D1345" w:rsidP="005D134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D1345" w:rsidRPr="00CF6FCA" w:rsidRDefault="005D1345" w:rsidP="005D134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D1345" w:rsidRPr="00CF6FCA" w:rsidRDefault="005D1345" w:rsidP="005D134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10FA7" w:rsidRDefault="005D1345" w:rsidP="005D134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D1345" w:rsidRPr="001C4C3B" w:rsidRDefault="005D1345" w:rsidP="005D1345">
      <w:pPr>
        <w:jc w:val="center"/>
        <w:rPr>
          <w:b/>
          <w:sz w:val="28"/>
          <w:szCs w:val="28"/>
          <w:lang w:val="uk-UA"/>
        </w:rPr>
      </w:pPr>
    </w:p>
    <w:p w:rsidR="00410FA7" w:rsidRPr="001C4C3B" w:rsidRDefault="00705A1A" w:rsidP="00410FA7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12.10.2021</w:t>
      </w:r>
      <w:r w:rsidR="00410FA7" w:rsidRPr="001C4C3B">
        <w:rPr>
          <w:sz w:val="28"/>
          <w:szCs w:val="28"/>
          <w:lang w:val="uk-UA" w:eastAsia="uk-UA"/>
        </w:rPr>
        <w:t xml:space="preserve">                              </w:t>
      </w:r>
      <w:r w:rsidR="00563A15">
        <w:rPr>
          <w:sz w:val="28"/>
          <w:szCs w:val="28"/>
          <w:lang w:val="en-US" w:eastAsia="uk-UA"/>
        </w:rPr>
        <w:t xml:space="preserve">     </w:t>
      </w:r>
      <w:bookmarkStart w:id="0" w:name="_GoBack"/>
      <w:bookmarkEnd w:id="0"/>
      <w:r w:rsidR="00410FA7" w:rsidRPr="001C4C3B">
        <w:rPr>
          <w:sz w:val="28"/>
          <w:szCs w:val="28"/>
          <w:lang w:val="uk-UA" w:eastAsia="uk-UA"/>
        </w:rPr>
        <w:t xml:space="preserve"> м. Лисичанськ            </w:t>
      </w:r>
      <w:r>
        <w:rPr>
          <w:sz w:val="28"/>
          <w:szCs w:val="28"/>
          <w:lang w:val="uk-UA" w:eastAsia="uk-UA"/>
        </w:rPr>
        <w:t xml:space="preserve">                      № 1158</w:t>
      </w:r>
    </w:p>
    <w:p w:rsidR="00410FA7" w:rsidRPr="000704CC" w:rsidRDefault="00410FA7" w:rsidP="00410FA7">
      <w:pPr>
        <w:rPr>
          <w:b/>
          <w:sz w:val="28"/>
          <w:szCs w:val="28"/>
          <w:lang w:val="uk-UA" w:eastAsia="uk-UA"/>
        </w:rPr>
      </w:pPr>
    </w:p>
    <w:p w:rsidR="00792EB1" w:rsidRDefault="00792EB1" w:rsidP="00A268B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П</w:t>
      </w:r>
      <w:r w:rsidRPr="0041749D">
        <w:rPr>
          <w:b/>
          <w:sz w:val="28"/>
          <w:szCs w:val="28"/>
          <w:lang w:val="uk-UA"/>
        </w:rPr>
        <w:t>рограми</w:t>
      </w:r>
      <w:r>
        <w:rPr>
          <w:b/>
          <w:sz w:val="28"/>
          <w:szCs w:val="28"/>
          <w:lang w:val="uk-UA"/>
        </w:rPr>
        <w:t xml:space="preserve"> </w:t>
      </w:r>
      <w:r w:rsidR="00A268B9" w:rsidRPr="00BB60C6">
        <w:rPr>
          <w:b/>
          <w:sz w:val="28"/>
          <w:szCs w:val="28"/>
          <w:lang w:val="uk-UA"/>
        </w:rPr>
        <w:t>соціального</w:t>
      </w:r>
    </w:p>
    <w:p w:rsidR="00792EB1" w:rsidRDefault="00A268B9" w:rsidP="00A268B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B60C6">
        <w:rPr>
          <w:b/>
          <w:sz w:val="28"/>
          <w:szCs w:val="28"/>
          <w:lang w:val="uk-UA"/>
        </w:rPr>
        <w:t>захисту громадян,</w:t>
      </w:r>
      <w:r w:rsidR="00792EB1">
        <w:rPr>
          <w:b/>
          <w:sz w:val="28"/>
          <w:szCs w:val="28"/>
          <w:lang w:val="uk-UA"/>
        </w:rPr>
        <w:t xml:space="preserve"> </w:t>
      </w:r>
      <w:r w:rsidRPr="00BB60C6">
        <w:rPr>
          <w:b/>
          <w:sz w:val="28"/>
          <w:szCs w:val="28"/>
          <w:lang w:val="uk-UA"/>
        </w:rPr>
        <w:t>які постраждали</w:t>
      </w:r>
    </w:p>
    <w:p w:rsidR="00792EB1" w:rsidRDefault="00A268B9" w:rsidP="00A268B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B60C6">
        <w:rPr>
          <w:b/>
          <w:sz w:val="28"/>
          <w:szCs w:val="28"/>
          <w:lang w:val="uk-UA"/>
        </w:rPr>
        <w:t>внаслідок Чорнобильської катастрофи</w:t>
      </w:r>
      <w:r w:rsidR="00697189">
        <w:rPr>
          <w:b/>
          <w:sz w:val="28"/>
          <w:szCs w:val="28"/>
          <w:lang w:val="uk-UA"/>
        </w:rPr>
        <w:t>,</w:t>
      </w:r>
    </w:p>
    <w:p w:rsidR="00410FA7" w:rsidRPr="00BB60C6" w:rsidRDefault="00A268B9" w:rsidP="00A268B9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BB60C6">
        <w:rPr>
          <w:b/>
          <w:sz w:val="28"/>
          <w:szCs w:val="28"/>
          <w:lang w:val="uk-UA"/>
        </w:rPr>
        <w:t>на 20</w:t>
      </w:r>
      <w:r w:rsidR="00792EB1">
        <w:rPr>
          <w:b/>
          <w:sz w:val="28"/>
          <w:szCs w:val="28"/>
          <w:lang w:val="uk-UA"/>
        </w:rPr>
        <w:t>22</w:t>
      </w:r>
      <w:r w:rsidRPr="00BB60C6">
        <w:rPr>
          <w:b/>
          <w:sz w:val="28"/>
          <w:szCs w:val="28"/>
          <w:lang w:val="uk-UA"/>
        </w:rPr>
        <w:t>-20</w:t>
      </w:r>
      <w:r w:rsidR="00792EB1">
        <w:rPr>
          <w:b/>
          <w:sz w:val="28"/>
          <w:szCs w:val="28"/>
          <w:lang w:val="uk-UA"/>
        </w:rPr>
        <w:t>26</w:t>
      </w:r>
      <w:r w:rsidRPr="00BB60C6">
        <w:rPr>
          <w:b/>
          <w:sz w:val="28"/>
          <w:szCs w:val="28"/>
          <w:lang w:val="uk-UA"/>
        </w:rPr>
        <w:t xml:space="preserve"> роки</w:t>
      </w:r>
    </w:p>
    <w:p w:rsidR="00A268B9" w:rsidRPr="000704CC" w:rsidRDefault="00A268B9" w:rsidP="00410FA7">
      <w:pPr>
        <w:ind w:firstLine="851"/>
        <w:rPr>
          <w:b/>
          <w:sz w:val="28"/>
          <w:szCs w:val="28"/>
          <w:lang w:val="uk-UA"/>
        </w:rPr>
      </w:pPr>
    </w:p>
    <w:p w:rsidR="00410FA7" w:rsidRPr="009F6FE9" w:rsidRDefault="005D1345" w:rsidP="000A3D48">
      <w:pPr>
        <w:ind w:firstLine="851"/>
        <w:jc w:val="both"/>
        <w:rPr>
          <w:sz w:val="28"/>
          <w:szCs w:val="28"/>
          <w:lang w:val="uk-UA"/>
        </w:rPr>
      </w:pPr>
      <w:r w:rsidRPr="00BB60C6">
        <w:rPr>
          <w:sz w:val="28"/>
          <w:szCs w:val="28"/>
          <w:lang w:val="uk-UA"/>
        </w:rPr>
        <w:t>З метою надання соціальної підтримки особам, які постраждали внаслідок Чорнобильської катастрофи, керуючись</w:t>
      </w:r>
      <w:r w:rsidR="0014374D">
        <w:rPr>
          <w:sz w:val="28"/>
          <w:szCs w:val="28"/>
          <w:lang w:val="uk-UA"/>
        </w:rPr>
        <w:t xml:space="preserve"> </w:t>
      </w:r>
      <w:r w:rsidR="00F44AB5">
        <w:rPr>
          <w:sz w:val="28"/>
          <w:szCs w:val="28"/>
          <w:lang w:val="uk-UA"/>
        </w:rPr>
        <w:t>статтями 20, 21, 22</w:t>
      </w:r>
      <w:r w:rsidR="001A49B4">
        <w:rPr>
          <w:sz w:val="28"/>
          <w:szCs w:val="28"/>
          <w:lang w:val="uk-UA"/>
        </w:rPr>
        <w:t>, 30, 63</w:t>
      </w:r>
      <w:r w:rsidRPr="00BB60C6">
        <w:rPr>
          <w:sz w:val="28"/>
          <w:szCs w:val="28"/>
          <w:lang w:val="uk-UA"/>
        </w:rPr>
        <w:t xml:space="preserve"> Закон</w:t>
      </w:r>
      <w:r w:rsidR="00F44AB5">
        <w:rPr>
          <w:sz w:val="28"/>
          <w:szCs w:val="28"/>
          <w:lang w:val="uk-UA"/>
        </w:rPr>
        <w:t>у</w:t>
      </w:r>
      <w:r w:rsidRPr="009F6FE9">
        <w:rPr>
          <w:sz w:val="28"/>
          <w:szCs w:val="28"/>
          <w:lang w:val="uk-UA"/>
        </w:rPr>
        <w:t xml:space="preserve"> України «Про статус та соціальний захист громадян, які постраждали внаслідок Чорнобильської катастрофи»,</w:t>
      </w:r>
      <w:r w:rsidR="00F44AB5">
        <w:rPr>
          <w:sz w:val="28"/>
          <w:szCs w:val="28"/>
          <w:lang w:val="uk-UA"/>
        </w:rPr>
        <w:t xml:space="preserve"> статтею 20 Закону України «Про статус ветеранів війни, гарантії їх соціального захисту»,</w:t>
      </w:r>
      <w:r w:rsidRPr="009F6FE9">
        <w:rPr>
          <w:snapToGrid w:val="0"/>
          <w:sz w:val="28"/>
          <w:szCs w:val="28"/>
          <w:lang w:val="uk-UA"/>
        </w:rPr>
        <w:t xml:space="preserve"> пунктом 1 частини першої статті 4, </w:t>
      </w:r>
      <w:r w:rsidRPr="009F6FE9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410FA7" w:rsidRPr="00880BE6" w:rsidRDefault="00410FA7" w:rsidP="00F755B0">
      <w:pPr>
        <w:ind w:right="99"/>
        <w:jc w:val="both"/>
        <w:rPr>
          <w:sz w:val="26"/>
          <w:szCs w:val="26"/>
          <w:lang w:val="uk-UA"/>
        </w:rPr>
      </w:pPr>
    </w:p>
    <w:p w:rsidR="004468DE" w:rsidRDefault="004468DE" w:rsidP="004468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4468DE" w:rsidRPr="000704CC" w:rsidRDefault="004468DE" w:rsidP="004468DE">
      <w:pPr>
        <w:rPr>
          <w:sz w:val="28"/>
          <w:szCs w:val="28"/>
          <w:lang w:val="uk-UA"/>
        </w:rPr>
      </w:pPr>
    </w:p>
    <w:p w:rsidR="00792EB1" w:rsidRDefault="00792EB1" w:rsidP="00792EB1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5085E">
        <w:rPr>
          <w:sz w:val="28"/>
          <w:szCs w:val="28"/>
        </w:rPr>
        <w:t xml:space="preserve">Затвердити Програму соціального захисту </w:t>
      </w:r>
      <w:r>
        <w:rPr>
          <w:sz w:val="28"/>
          <w:szCs w:val="28"/>
        </w:rPr>
        <w:t>громадян, які постраждали внаслідок Чорнобильської катастрофи</w:t>
      </w:r>
      <w:r w:rsidR="00697189">
        <w:rPr>
          <w:sz w:val="28"/>
          <w:szCs w:val="28"/>
        </w:rPr>
        <w:t>,</w:t>
      </w:r>
      <w:r w:rsidRPr="00A5085E">
        <w:rPr>
          <w:color w:val="000000"/>
          <w:sz w:val="28"/>
          <w:szCs w:val="28"/>
        </w:rPr>
        <w:t xml:space="preserve"> на </w:t>
      </w:r>
      <w:r w:rsidRPr="00A5085E">
        <w:rPr>
          <w:sz w:val="28"/>
          <w:szCs w:val="28"/>
        </w:rPr>
        <w:t>2022-2026 роки</w:t>
      </w:r>
      <w:r>
        <w:rPr>
          <w:sz w:val="28"/>
          <w:szCs w:val="28"/>
        </w:rPr>
        <w:t xml:space="preserve"> (далі - Програма) (додається).</w:t>
      </w:r>
    </w:p>
    <w:p w:rsidR="00792EB1" w:rsidRPr="00880BE6" w:rsidRDefault="00792EB1" w:rsidP="00792EB1">
      <w:pPr>
        <w:ind w:firstLine="738"/>
        <w:jc w:val="both"/>
        <w:rPr>
          <w:sz w:val="26"/>
          <w:szCs w:val="26"/>
          <w:lang w:val="uk-UA"/>
        </w:rPr>
      </w:pPr>
    </w:p>
    <w:p w:rsidR="00792EB1" w:rsidRDefault="00792EB1" w:rsidP="00792EB1">
      <w:pPr>
        <w:ind w:firstLine="7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1749D">
        <w:rPr>
          <w:sz w:val="28"/>
          <w:szCs w:val="28"/>
          <w:lang w:val="uk-UA"/>
        </w:rPr>
        <w:t xml:space="preserve">. </w:t>
      </w:r>
      <w:r w:rsidR="000704CC">
        <w:rPr>
          <w:sz w:val="28"/>
          <w:szCs w:val="28"/>
          <w:lang w:val="uk-UA"/>
        </w:rPr>
        <w:t xml:space="preserve">Виконавцям забезпечити </w:t>
      </w:r>
      <w:r w:rsidR="00D86FAB">
        <w:rPr>
          <w:color w:val="000000"/>
          <w:sz w:val="28"/>
          <w:szCs w:val="28"/>
          <w:lang w:val="uk-UA"/>
        </w:rPr>
        <w:t>реалізацію</w:t>
      </w:r>
      <w:r>
        <w:rPr>
          <w:color w:val="000000"/>
          <w:sz w:val="28"/>
          <w:szCs w:val="28"/>
          <w:lang w:val="uk-UA"/>
        </w:rPr>
        <w:t xml:space="preserve"> заходів</w:t>
      </w:r>
      <w:r w:rsidRPr="00966D01">
        <w:rPr>
          <w:sz w:val="28"/>
          <w:szCs w:val="28"/>
          <w:lang w:val="uk-UA"/>
        </w:rPr>
        <w:t xml:space="preserve"> </w:t>
      </w:r>
      <w:r w:rsidRPr="00A5085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рограми.</w:t>
      </w:r>
    </w:p>
    <w:p w:rsidR="00792EB1" w:rsidRPr="000704CC" w:rsidRDefault="00792EB1" w:rsidP="00792EB1">
      <w:pPr>
        <w:ind w:firstLine="738"/>
        <w:jc w:val="both"/>
        <w:rPr>
          <w:sz w:val="28"/>
          <w:szCs w:val="28"/>
          <w:lang w:val="uk-UA"/>
        </w:rPr>
      </w:pPr>
    </w:p>
    <w:p w:rsidR="00792EB1" w:rsidRPr="0041749D" w:rsidRDefault="00792EB1" w:rsidP="00792EB1">
      <w:pPr>
        <w:pStyle w:val="a5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1749D">
        <w:rPr>
          <w:sz w:val="28"/>
          <w:szCs w:val="28"/>
        </w:rPr>
        <w:t xml:space="preserve">. </w:t>
      </w:r>
      <w:r>
        <w:rPr>
          <w:sz w:val="28"/>
          <w:szCs w:val="28"/>
        </w:rPr>
        <w:t>Фінансовому управлінню передбачити фінансування заходів Програми.</w:t>
      </w:r>
    </w:p>
    <w:p w:rsidR="00792EB1" w:rsidRDefault="00792EB1" w:rsidP="00792EB1">
      <w:pPr>
        <w:tabs>
          <w:tab w:val="left" w:pos="788"/>
        </w:tabs>
        <w:ind w:right="99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cs="Times New Roman CYR"/>
          <w:sz w:val="28"/>
          <w:szCs w:val="28"/>
          <w:lang w:val="uk-UA"/>
        </w:rPr>
        <w:t>4</w:t>
      </w:r>
      <w:r w:rsidRPr="00966D01">
        <w:rPr>
          <w:rFonts w:cs="Times New Roman CYR"/>
          <w:sz w:val="28"/>
          <w:szCs w:val="28"/>
          <w:lang w:val="uk-UA"/>
        </w:rPr>
        <w:t xml:space="preserve">. </w:t>
      </w:r>
      <w:r w:rsidRPr="00966D01">
        <w:rPr>
          <w:rFonts w:eastAsia="Calibri"/>
          <w:sz w:val="28"/>
          <w:szCs w:val="28"/>
          <w:lang w:val="uk-UA" w:eastAsia="en-US"/>
        </w:rPr>
        <w:t>Дане розпорядження підлягає оприлюдненню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792EB1" w:rsidRPr="000704CC" w:rsidRDefault="00792EB1" w:rsidP="00792EB1">
      <w:pPr>
        <w:tabs>
          <w:tab w:val="left" w:pos="788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</w:p>
    <w:p w:rsidR="00792EB1" w:rsidRPr="0041749D" w:rsidRDefault="00792EB1" w:rsidP="00792EB1">
      <w:pPr>
        <w:tabs>
          <w:tab w:val="left" w:pos="788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5. </w:t>
      </w:r>
      <w:r w:rsidRPr="0041749D">
        <w:rPr>
          <w:rFonts w:cs="Times New Roman CYR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>
        <w:rPr>
          <w:rFonts w:cs="Times New Roman CYR"/>
          <w:sz w:val="28"/>
          <w:szCs w:val="28"/>
          <w:lang w:val="uk-UA"/>
        </w:rPr>
        <w:t xml:space="preserve">Лисичанської міської </w:t>
      </w:r>
      <w:r w:rsidRPr="0041749D">
        <w:rPr>
          <w:rFonts w:cs="Times New Roman CYR"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cs="Times New Roman CYR"/>
          <w:sz w:val="28"/>
          <w:szCs w:val="28"/>
          <w:lang w:val="uk-UA"/>
        </w:rPr>
        <w:t xml:space="preserve">             Євгена НАЮКА</w:t>
      </w:r>
      <w:r w:rsidRPr="0041749D">
        <w:rPr>
          <w:rFonts w:cs="Times New Roman CYR"/>
          <w:sz w:val="28"/>
          <w:szCs w:val="28"/>
          <w:lang w:val="uk-UA"/>
        </w:rPr>
        <w:t xml:space="preserve">. </w:t>
      </w:r>
    </w:p>
    <w:p w:rsidR="00792EB1" w:rsidRPr="000704CC" w:rsidRDefault="00792EB1" w:rsidP="00792EB1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0704CC" w:rsidRPr="000704CC" w:rsidRDefault="000704CC" w:rsidP="00792EB1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0704CC" w:rsidRPr="000704CC" w:rsidRDefault="000704CC" w:rsidP="00792EB1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0704CC" w:rsidRPr="000704CC" w:rsidRDefault="000704CC" w:rsidP="00792EB1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792EB1" w:rsidRPr="0041749D" w:rsidRDefault="00851E2F" w:rsidP="00792EB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</w:t>
      </w:r>
      <w:r w:rsidR="00880BE6">
        <w:rPr>
          <w:b/>
          <w:sz w:val="28"/>
          <w:szCs w:val="28"/>
          <w:lang w:val="uk-UA" w:eastAsia="uk-UA"/>
        </w:rPr>
        <w:t>ерівник</w:t>
      </w:r>
      <w:r>
        <w:rPr>
          <w:b/>
          <w:sz w:val="28"/>
          <w:szCs w:val="28"/>
          <w:lang w:val="uk-UA" w:eastAsia="uk-UA"/>
        </w:rPr>
        <w:t xml:space="preserve"> </w:t>
      </w:r>
      <w:r w:rsidR="00792EB1">
        <w:rPr>
          <w:b/>
          <w:sz w:val="28"/>
          <w:szCs w:val="28"/>
          <w:lang w:val="uk-UA" w:eastAsia="uk-UA"/>
        </w:rPr>
        <w:t>Лисичанської міської</w:t>
      </w:r>
      <w:r w:rsidR="00792EB1" w:rsidRPr="0041749D">
        <w:rPr>
          <w:b/>
          <w:sz w:val="28"/>
          <w:szCs w:val="28"/>
          <w:lang w:val="uk-UA" w:eastAsia="uk-UA"/>
        </w:rPr>
        <w:t xml:space="preserve"> </w:t>
      </w:r>
    </w:p>
    <w:p w:rsidR="00792EB1" w:rsidRDefault="00792EB1" w:rsidP="00792EB1">
      <w:pPr>
        <w:jc w:val="both"/>
        <w:rPr>
          <w:b/>
          <w:sz w:val="28"/>
          <w:szCs w:val="28"/>
          <w:lang w:val="uk-UA" w:eastAsia="uk-UA"/>
        </w:rPr>
      </w:pPr>
      <w:r w:rsidRPr="0041749D">
        <w:rPr>
          <w:b/>
          <w:sz w:val="28"/>
          <w:szCs w:val="28"/>
          <w:lang w:val="uk-UA" w:eastAsia="uk-UA"/>
        </w:rPr>
        <w:t>військово-цивільної адміністрації</w:t>
      </w:r>
      <w:r w:rsidRPr="0041749D">
        <w:rPr>
          <w:b/>
          <w:sz w:val="28"/>
          <w:szCs w:val="28"/>
          <w:lang w:val="uk-UA" w:eastAsia="uk-UA"/>
        </w:rPr>
        <w:tab/>
      </w:r>
      <w:r w:rsidRPr="0041749D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="00880BE6">
        <w:rPr>
          <w:b/>
          <w:sz w:val="28"/>
          <w:szCs w:val="28"/>
          <w:lang w:val="uk-UA" w:eastAsia="uk-UA"/>
        </w:rPr>
        <w:t xml:space="preserve">     </w:t>
      </w:r>
      <w:r w:rsidR="00851E2F">
        <w:rPr>
          <w:b/>
          <w:sz w:val="28"/>
          <w:szCs w:val="28"/>
          <w:lang w:val="uk-UA" w:eastAsia="uk-UA"/>
        </w:rPr>
        <w:t>Олександр ЗАЇКА</w:t>
      </w:r>
    </w:p>
    <w:p w:rsidR="0062747B" w:rsidRDefault="0062747B" w:rsidP="00792EB1">
      <w:pPr>
        <w:jc w:val="both"/>
        <w:rPr>
          <w:b/>
          <w:sz w:val="28"/>
          <w:szCs w:val="28"/>
          <w:lang w:val="uk-UA" w:eastAsia="uk-UA"/>
        </w:rPr>
      </w:pPr>
    </w:p>
    <w:p w:rsidR="0062747B" w:rsidRDefault="0062747B" w:rsidP="00792EB1">
      <w:pPr>
        <w:jc w:val="both"/>
        <w:rPr>
          <w:b/>
          <w:sz w:val="28"/>
          <w:szCs w:val="28"/>
          <w:lang w:val="uk-UA" w:eastAsia="uk-UA"/>
        </w:rPr>
      </w:pPr>
    </w:p>
    <w:p w:rsidR="0062747B" w:rsidRDefault="0062747B" w:rsidP="00792EB1">
      <w:pPr>
        <w:jc w:val="both"/>
        <w:rPr>
          <w:b/>
          <w:sz w:val="28"/>
          <w:szCs w:val="28"/>
          <w:lang w:val="uk-UA" w:eastAsia="uk-UA"/>
        </w:rPr>
      </w:pPr>
    </w:p>
    <w:p w:rsidR="0062747B" w:rsidRDefault="0062747B" w:rsidP="0062747B">
      <w:pPr>
        <w:ind w:left="5812" w:hanging="425"/>
        <w:jc w:val="both"/>
        <w:rPr>
          <w:color w:val="000000" w:themeColor="text1"/>
          <w:sz w:val="28"/>
          <w:szCs w:val="28"/>
          <w:lang w:val="uk-UA"/>
        </w:rPr>
      </w:pPr>
    </w:p>
    <w:p w:rsidR="0062747B" w:rsidRDefault="0062747B" w:rsidP="0062747B">
      <w:pPr>
        <w:ind w:left="5812" w:hanging="425"/>
        <w:jc w:val="both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ind w:left="5812" w:hanging="425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Додаток </w:t>
      </w:r>
    </w:p>
    <w:p w:rsidR="0062747B" w:rsidRPr="00E37896" w:rsidRDefault="0062747B" w:rsidP="0062747B">
      <w:pPr>
        <w:ind w:left="5387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62747B" w:rsidRPr="00E37896" w:rsidRDefault="00354F23" w:rsidP="0062747B">
      <w:pPr>
        <w:ind w:left="538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12.10.2021 № 1158</w:t>
      </w:r>
    </w:p>
    <w:p w:rsidR="0062747B" w:rsidRPr="00E37896" w:rsidRDefault="0062747B" w:rsidP="0062747B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color w:val="000000" w:themeColor="text1"/>
          <w:sz w:val="32"/>
          <w:szCs w:val="32"/>
          <w:lang w:val="uk-UA"/>
        </w:rPr>
      </w:pPr>
      <w:r w:rsidRPr="00E37896">
        <w:rPr>
          <w:b/>
          <w:color w:val="000000" w:themeColor="text1"/>
          <w:sz w:val="32"/>
          <w:szCs w:val="32"/>
          <w:lang w:val="uk-UA"/>
        </w:rPr>
        <w:t>ПРОГРАМА</w:t>
      </w:r>
    </w:p>
    <w:p w:rsidR="0062747B" w:rsidRPr="00E37896" w:rsidRDefault="0062747B" w:rsidP="0062747B">
      <w:pPr>
        <w:suppressAutoHyphens/>
        <w:jc w:val="center"/>
        <w:rPr>
          <w:b/>
          <w:color w:val="000000" w:themeColor="text1"/>
          <w:sz w:val="32"/>
          <w:szCs w:val="32"/>
          <w:lang w:val="uk-UA"/>
        </w:rPr>
      </w:pPr>
      <w:r w:rsidRPr="00E37896">
        <w:rPr>
          <w:b/>
          <w:color w:val="000000" w:themeColor="text1"/>
          <w:sz w:val="32"/>
          <w:szCs w:val="32"/>
          <w:lang w:val="uk-UA"/>
        </w:rPr>
        <w:t>соціального захисту громадян, які постраждали внаслідок Чорнобильської катастрофи, на 2022 - 2026 роки</w:t>
      </w:r>
    </w:p>
    <w:p w:rsidR="0062747B" w:rsidRPr="00E37896" w:rsidRDefault="0062747B" w:rsidP="0062747B">
      <w:pPr>
        <w:suppressAutoHyphens/>
        <w:rPr>
          <w:b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spacing w:before="120"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spacing w:before="120"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spacing w:before="120"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spacing w:before="120"/>
        <w:jc w:val="center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Лисичанськ – 2021</w:t>
      </w:r>
    </w:p>
    <w:p w:rsidR="0062747B" w:rsidRPr="00E37896" w:rsidRDefault="0062747B" w:rsidP="0062747B">
      <w:pPr>
        <w:suppressAutoHyphens/>
        <w:jc w:val="right"/>
        <w:rPr>
          <w:bCs/>
          <w:color w:val="000000" w:themeColor="text1"/>
          <w:lang w:val="uk-UA"/>
        </w:rPr>
      </w:pPr>
    </w:p>
    <w:p w:rsidR="0062747B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62747B" w:rsidRPr="00E37896" w:rsidRDefault="0062747B" w:rsidP="0062747B">
      <w:pPr>
        <w:suppressAutoHyphens/>
        <w:jc w:val="center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Програми соціального захисту громадян, які постраждали внаслідок Чорнобильської катастрофи, на 2022 – 2026 роки</w:t>
      </w:r>
    </w:p>
    <w:p w:rsidR="0062747B" w:rsidRPr="00E37896" w:rsidRDefault="0062747B" w:rsidP="0062747B">
      <w:pPr>
        <w:suppressAutoHyphens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rFonts w:eastAsia="Arial"/>
          <w:color w:val="000000" w:themeColor="text1"/>
          <w:sz w:val="28"/>
          <w:szCs w:val="28"/>
          <w:lang w:val="uk-UA"/>
        </w:rPr>
        <w:t>Підстава для розроблення: Закон України від 28.02.1991 № 796-ХІІ «Про статус і соціальний захист громадян, які постраждали внаслідок Чорнобильської катастрофи»</w:t>
      </w:r>
      <w:r w:rsidRPr="00E37896">
        <w:rPr>
          <w:rFonts w:eastAsia="Arial"/>
          <w:bCs/>
          <w:color w:val="000000" w:themeColor="text1"/>
          <w:sz w:val="28"/>
          <w:szCs w:val="28"/>
          <w:lang w:val="uk-UA"/>
        </w:rPr>
        <w:t>.</w:t>
      </w: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663"/>
        <w:gridCol w:w="5493"/>
      </w:tblGrid>
      <w:tr w:rsidR="0062747B" w:rsidRPr="00563A15" w:rsidTr="007A5C8C">
        <w:trPr>
          <w:trHeight w:val="6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 xml:space="preserve">Управління соціального захисту населення Лисичанської міської військово-цивільної адміністрації </w:t>
            </w:r>
            <w:proofErr w:type="spellStart"/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 xml:space="preserve"> району Луганської області (далі – УСЗН)</w:t>
            </w:r>
          </w:p>
        </w:tc>
      </w:tr>
      <w:tr w:rsidR="0062747B" w:rsidRPr="00563A15" w:rsidTr="007A5C8C">
        <w:trPr>
          <w:trHeight w:val="26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ind w:right="9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 xml:space="preserve">Лисичанська міська військово-цивільна адміністрація </w:t>
            </w:r>
            <w:proofErr w:type="spellStart"/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 xml:space="preserve"> району Луганської області (далі – Лисичанська міська ВЦА), у</w:t>
            </w: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правління житлово-комунального господарства (далі - УЖКГ), відділ охорони здоров’я, управління освіти, відділ культури, відділ молоді та спорту, Лисичанський територіальний центр соціального обслуговування (надання соціальних послуг) (далі – Лисичанський територіальний центр), відділ з питань внутрішньої політики та організаційної роботи, громадська організація «Ветерани Чорнобиля м. Лисичанська»</w:t>
            </w:r>
          </w:p>
        </w:tc>
      </w:tr>
      <w:tr w:rsidR="0062747B" w:rsidRPr="00E37896" w:rsidTr="007A5C8C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>УСЗН</w:t>
            </w:r>
          </w:p>
        </w:tc>
      </w:tr>
      <w:tr w:rsidR="0062747B" w:rsidRPr="00563A15" w:rsidTr="007A5C8C">
        <w:trPr>
          <w:trHeight w:val="2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ind w:right="9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rFonts w:eastAsia="Lucida Sans Unicode"/>
                <w:color w:val="000000" w:themeColor="text1"/>
                <w:sz w:val="28"/>
                <w:szCs w:val="28"/>
                <w:lang w:val="uk-UA"/>
              </w:rPr>
              <w:t>Лисичанська міська ВЦА, УСЗН</w:t>
            </w: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, УЖКГ, управління освіти, відділ культури, відділ молоді та спорту, Лисичанський територіальний центр, відділ з питань внутрішньої політики та організаційної роботи, відділ охорони здоров’я, комунальне некомерційне підприємство «Лисичанська багатопрофільна лікарня» (далі – КНМ «Лисичанська багатопрофільна лікарня»), комунальне некомерційне підприємство «Центр первинної медико-соціальної допомоги № 1», комунальне некомерційне підприємство «Центр первинної медико-соціальної допомоги № 2» (далі – КНП ЦПМСД № 1, № 2), фахові </w:t>
            </w: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передвищи</w:t>
            </w:r>
            <w:proofErr w:type="spellEnd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 навчальні заклади, професійні ліцеї, громадська організація «Ветерани Чорнобиля м. Лисичанська»</w:t>
            </w:r>
          </w:p>
        </w:tc>
      </w:tr>
      <w:tr w:rsidR="0062747B" w:rsidRPr="00E37896" w:rsidTr="007A5C8C">
        <w:trPr>
          <w:trHeight w:val="2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2022 – 2026 роки</w:t>
            </w:r>
          </w:p>
        </w:tc>
      </w:tr>
      <w:tr w:rsidR="0062747B" w:rsidRPr="00E37896" w:rsidTr="007A5C8C">
        <w:trPr>
          <w:trHeight w:val="7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19132,355 тис. грн.</w:t>
            </w:r>
          </w:p>
        </w:tc>
      </w:tr>
      <w:tr w:rsidR="0062747B" w:rsidRPr="00E37896" w:rsidTr="007A5C8C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Державний бюджет — 3392,44 тис. </w:t>
            </w: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Обласний бюджет — 13799,345 тис. </w:t>
            </w: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Бюджет Лисичанської міської</w:t>
            </w:r>
          </w:p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територіальної громади – 1939,07 тис. </w:t>
            </w: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  <w:p w:rsidR="0062747B" w:rsidRPr="00E37896" w:rsidRDefault="0062747B" w:rsidP="007A5C8C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 xml:space="preserve">Позабюджетні кошти – 1,5 тис. </w:t>
            </w:r>
            <w:proofErr w:type="spellStart"/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tabs>
          <w:tab w:val="left" w:pos="3345"/>
        </w:tabs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  <w:r w:rsidRPr="00E37896">
        <w:rPr>
          <w:b/>
          <w:color w:val="000000" w:themeColor="text1"/>
          <w:sz w:val="28"/>
          <w:szCs w:val="28"/>
          <w:lang w:val="uk-UA"/>
        </w:rPr>
        <w:t>І. Визначення проблеми, на розв’язання якої спрямовано Програму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Чорнобильська катастрофа створила на значній території України радіаційну ситуацію, яка і сьогодні продовжує негативно впливати на здоров’я людей та довкілля. Наслідки впливу радіації призводять до збільшення чисельності осіб з інвалідністю серед постраждалих громадян.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Ліквідація наслідків аварії на ЧАЕС залишається одним із пріоритетних завдань держави. Поряд з цим існує необхідність реалізації комплексу додаткових заходів, спрямованих на збереження здоров’я осіб, постраждалих внаслідок Чорнобильської катастрофи, своєчасне та повноцінне їх лікування, соціальний захист та матеріальну підтримку.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Станом на 01.10.2021 на обліку в УСЗН перебуває 607 осіб, які постраждали внаслідок Чорнобильської катастрофи, з них: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І категорії — 191; 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ІІ категорії — 190; 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ІІІ категорії — 115;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дружини померлих громадян, смерть яких пов’язана з Чорнобильською катастрофою – 78;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діти, потерпілі від Чорнобильської катастрофи — 33.</w:t>
      </w:r>
    </w:p>
    <w:p w:rsidR="0062747B" w:rsidRPr="00E37896" w:rsidRDefault="0062747B" w:rsidP="0062747B">
      <w:pPr>
        <w:suppressAutoHyphens/>
        <w:ind w:firstLine="720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>УСЗН за рахунок коштів державного бюджету забезпечує виконання бюджетних програм, спрямованих на соціальний захист громадян, які постраждали внаслідок Чорнобильської катастрофи, за наступними напрямами:</w:t>
      </w:r>
    </w:p>
    <w:p w:rsidR="0062747B" w:rsidRPr="00E37896" w:rsidRDefault="0062747B" w:rsidP="0062747B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 w:eastAsia="ru-RU"/>
        </w:rPr>
        <w:t xml:space="preserve">відшкодування підприємствам витрат на </w:t>
      </w:r>
      <w:r w:rsidRPr="00E37896">
        <w:rPr>
          <w:color w:val="000000" w:themeColor="text1"/>
          <w:sz w:val="28"/>
          <w:szCs w:val="28"/>
          <w:lang w:val="uk-UA"/>
        </w:rPr>
        <w:t xml:space="preserve">оплату додаткової відпустки та </w:t>
      </w:r>
      <w:r w:rsidRPr="00E37896">
        <w:rPr>
          <w:color w:val="000000" w:themeColor="text1"/>
          <w:sz w:val="28"/>
          <w:szCs w:val="28"/>
          <w:lang w:val="uk-UA" w:eastAsia="ru-RU"/>
        </w:rPr>
        <w:t xml:space="preserve">компенсації у разі звільнення з роботи </w:t>
      </w:r>
      <w:r w:rsidRPr="00E37896">
        <w:rPr>
          <w:color w:val="000000" w:themeColor="text1"/>
          <w:sz w:val="28"/>
          <w:szCs w:val="28"/>
          <w:lang w:val="uk-UA"/>
        </w:rPr>
        <w:t>громадян, які постраждали внаслідок Чорнобильської катастрофи;</w:t>
      </w:r>
    </w:p>
    <w:p w:rsidR="0062747B" w:rsidRPr="00E37896" w:rsidRDefault="0062747B" w:rsidP="0062747B">
      <w:pPr>
        <w:suppressAutoHyphens/>
        <w:ind w:firstLine="709"/>
        <w:jc w:val="both"/>
        <w:rPr>
          <w:color w:val="000000" w:themeColor="text1"/>
          <w:sz w:val="28"/>
          <w:szCs w:val="28"/>
          <w:lang w:val="uk-UA" w:eastAsia="ru-RU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виплата </w:t>
      </w:r>
      <w:r w:rsidRPr="00E37896">
        <w:rPr>
          <w:color w:val="000000" w:themeColor="text1"/>
          <w:sz w:val="28"/>
          <w:szCs w:val="28"/>
          <w:lang w:val="uk-UA" w:eastAsia="ru-RU"/>
        </w:rPr>
        <w:t>грошової компенсації за пільгове забезпечення продуктами харчування громадян</w:t>
      </w:r>
      <w:r w:rsidRPr="00E37896">
        <w:rPr>
          <w:color w:val="000000" w:themeColor="text1"/>
          <w:sz w:val="28"/>
          <w:szCs w:val="28"/>
          <w:lang w:val="uk-UA"/>
        </w:rPr>
        <w:t xml:space="preserve"> 1 та 2 категорії</w:t>
      </w:r>
      <w:r w:rsidRPr="00E37896">
        <w:rPr>
          <w:color w:val="000000" w:themeColor="text1"/>
          <w:sz w:val="28"/>
          <w:szCs w:val="28"/>
          <w:lang w:val="uk-UA" w:eastAsia="ru-RU"/>
        </w:rPr>
        <w:t>;</w:t>
      </w:r>
    </w:p>
    <w:p w:rsidR="0062747B" w:rsidRPr="00E37896" w:rsidRDefault="0062747B" w:rsidP="0062747B">
      <w:pPr>
        <w:suppressAutoHyphens/>
        <w:ind w:firstLine="709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color w:val="000000" w:themeColor="text1"/>
          <w:sz w:val="28"/>
          <w:szCs w:val="28"/>
          <w:lang w:val="uk-UA"/>
        </w:rPr>
        <w:t xml:space="preserve">виплата </w:t>
      </w: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>компенсації за шкоду, заподіяну здоров’ю та допомоги на оздоровлення;</w:t>
      </w:r>
    </w:p>
    <w:p w:rsidR="0062747B" w:rsidRPr="00E37896" w:rsidRDefault="0062747B" w:rsidP="0062747B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забезпечення</w:t>
      </w:r>
      <w:r w:rsidRPr="00E37896">
        <w:rPr>
          <w:color w:val="000000" w:themeColor="text1"/>
          <w:sz w:val="28"/>
          <w:szCs w:val="28"/>
          <w:lang w:val="uk-UA" w:eastAsia="ru-RU"/>
        </w:rPr>
        <w:t xml:space="preserve"> санаторно-курортним лікуванням </w:t>
      </w:r>
      <w:r w:rsidRPr="00E37896">
        <w:rPr>
          <w:color w:val="000000" w:themeColor="text1"/>
          <w:sz w:val="28"/>
          <w:szCs w:val="28"/>
          <w:lang w:val="uk-UA"/>
        </w:rPr>
        <w:t>громадян, віднесених до категорії 1;</w:t>
      </w:r>
    </w:p>
    <w:p w:rsidR="0062747B" w:rsidRPr="00E37896" w:rsidRDefault="0062747B" w:rsidP="0062747B">
      <w:pPr>
        <w:suppressAutoHyphens/>
        <w:ind w:firstLine="709"/>
        <w:jc w:val="both"/>
        <w:rPr>
          <w:color w:val="000000" w:themeColor="text1"/>
          <w:sz w:val="28"/>
          <w:szCs w:val="28"/>
          <w:lang w:val="uk-UA" w:eastAsia="ru-RU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відшкодування витрат підприємствам за надані пільги на оплату житлово–комунальних послуг і послуг зв'язку </w:t>
      </w:r>
      <w:r w:rsidRPr="00E37896">
        <w:rPr>
          <w:color w:val="000000" w:themeColor="text1"/>
          <w:sz w:val="28"/>
          <w:szCs w:val="28"/>
          <w:lang w:val="uk-UA" w:eastAsia="ru-RU"/>
        </w:rPr>
        <w:t>в межах встановлених норм.</w:t>
      </w:r>
    </w:p>
    <w:p w:rsidR="0062747B" w:rsidRPr="00E37896" w:rsidRDefault="0062747B" w:rsidP="0062747B">
      <w:pPr>
        <w:suppressAutoHyphens/>
        <w:ind w:firstLine="709"/>
        <w:jc w:val="both"/>
        <w:rPr>
          <w:color w:val="000000" w:themeColor="text1"/>
          <w:sz w:val="28"/>
          <w:szCs w:val="28"/>
          <w:lang w:val="uk-UA" w:eastAsia="ru-RU"/>
        </w:rPr>
      </w:pPr>
      <w:r w:rsidRPr="00E37896">
        <w:rPr>
          <w:color w:val="000000" w:themeColor="text1"/>
          <w:sz w:val="28"/>
          <w:szCs w:val="28"/>
          <w:lang w:val="uk-UA" w:eastAsia="ru-RU"/>
        </w:rPr>
        <w:t>Головними завданнями П</w:t>
      </w:r>
      <w:r w:rsidRPr="00E37896">
        <w:rPr>
          <w:color w:val="000000" w:themeColor="text1"/>
          <w:sz w:val="28"/>
          <w:szCs w:val="28"/>
          <w:lang w:val="uk-UA"/>
        </w:rPr>
        <w:t xml:space="preserve">рограми соціального захисту громадян, які постраждали внаслідок Чорнобильської катастрофи на 2022 – 2026 роки (далі-Програма) </w:t>
      </w:r>
      <w:r w:rsidRPr="00E37896">
        <w:rPr>
          <w:color w:val="000000" w:themeColor="text1"/>
          <w:sz w:val="28"/>
          <w:szCs w:val="28"/>
          <w:lang w:val="uk-UA" w:eastAsia="ru-RU"/>
        </w:rPr>
        <w:t>є визначення додаткових заходів, спрямованих на покращення соціального та медичного захисту громадян, постраждалих внаслідок Чорнобильської катастрофи.</w:t>
      </w:r>
    </w:p>
    <w:p w:rsidR="0062747B" w:rsidRPr="00E37896" w:rsidRDefault="0062747B" w:rsidP="0062747B">
      <w:pPr>
        <w:suppressAutoHyphens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Виконання заходів, визначених Програмою, передбачає об’єднання зусиль органів влади, закладів охорони здоров’я, освіти, культури, громадської </w:t>
      </w:r>
      <w:r w:rsidRPr="00E37896">
        <w:rPr>
          <w:color w:val="000000" w:themeColor="text1"/>
          <w:sz w:val="28"/>
          <w:szCs w:val="28"/>
          <w:lang w:val="uk-UA"/>
        </w:rPr>
        <w:lastRenderedPageBreak/>
        <w:t>організації «Ветерани Чорнобиля м. Лисичанська» для вирішення проблем зазначеної категорії громадян.</w:t>
      </w:r>
    </w:p>
    <w:p w:rsidR="0062747B" w:rsidRPr="00E37896" w:rsidRDefault="0062747B" w:rsidP="0062747B">
      <w:pPr>
        <w:suppressAutoHyphens/>
        <w:ind w:firstLine="708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708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ІІ. Мета Програми</w:t>
      </w:r>
    </w:p>
    <w:p w:rsidR="0062747B" w:rsidRPr="00E37896" w:rsidRDefault="0062747B" w:rsidP="0062747B">
      <w:pPr>
        <w:suppressAutoHyphens/>
        <w:ind w:firstLine="708"/>
        <w:jc w:val="center"/>
        <w:rPr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Метою Програми є забезпечення адресного, комплексного підходу до вирішення соціальних, медичних, інформаційних потреб громадян, які постраждали внаслідок Чорнобильської катастрофи.</w:t>
      </w:r>
    </w:p>
    <w:p w:rsidR="0062747B" w:rsidRPr="00E37896" w:rsidRDefault="0062747B" w:rsidP="0062747B">
      <w:pPr>
        <w:suppressAutoHyphens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ІІІ. Напрями діяльності Програми</w:t>
      </w:r>
    </w:p>
    <w:p w:rsidR="0062747B" w:rsidRPr="00E37896" w:rsidRDefault="0062747B" w:rsidP="0062747B">
      <w:pPr>
        <w:suppressAutoHyphens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Реалізація Програми передбачає здійснення заходів у кількох напрямах, а саме: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i/>
          <w:iCs/>
          <w:color w:val="000000" w:themeColor="text1"/>
          <w:sz w:val="28"/>
          <w:szCs w:val="28"/>
          <w:lang w:val="uk-UA"/>
        </w:rPr>
        <w:t xml:space="preserve">правовому </w:t>
      </w:r>
      <w:r w:rsidRPr="00E37896">
        <w:rPr>
          <w:color w:val="000000" w:themeColor="text1"/>
          <w:sz w:val="28"/>
          <w:szCs w:val="28"/>
          <w:lang w:val="uk-UA"/>
        </w:rPr>
        <w:t>– надання правової допомоги</w:t>
      </w:r>
      <w:r w:rsidRPr="00E37896">
        <w:rPr>
          <w:bCs/>
          <w:color w:val="000000" w:themeColor="text1"/>
          <w:sz w:val="28"/>
          <w:szCs w:val="28"/>
          <w:lang w:val="uk-UA"/>
        </w:rPr>
        <w:t>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i/>
          <w:iCs/>
          <w:color w:val="000000" w:themeColor="text1"/>
          <w:sz w:val="28"/>
          <w:szCs w:val="28"/>
          <w:lang w:val="uk-UA"/>
        </w:rPr>
        <w:t xml:space="preserve">соціальному </w:t>
      </w:r>
      <w:r w:rsidRPr="00E37896">
        <w:rPr>
          <w:color w:val="000000" w:themeColor="text1"/>
          <w:sz w:val="28"/>
          <w:szCs w:val="28"/>
          <w:lang w:val="uk-UA"/>
        </w:rPr>
        <w:t>– надання пільг, допомог та компенсацій, соціальних послуг, передбачених чинним законодавством;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i/>
          <w:iCs/>
          <w:color w:val="000000" w:themeColor="text1"/>
          <w:sz w:val="28"/>
          <w:szCs w:val="28"/>
          <w:lang w:val="uk-UA"/>
        </w:rPr>
        <w:t>медичному</w:t>
      </w:r>
      <w:r w:rsidRPr="00E37896">
        <w:rPr>
          <w:color w:val="000000" w:themeColor="text1"/>
          <w:sz w:val="28"/>
          <w:szCs w:val="28"/>
          <w:lang w:val="uk-UA"/>
        </w:rPr>
        <w:t xml:space="preserve"> – збереження, покращення здоров’я </w:t>
      </w:r>
      <w:r w:rsidRPr="00E37896">
        <w:rPr>
          <w:bCs/>
          <w:color w:val="000000" w:themeColor="text1"/>
          <w:sz w:val="28"/>
          <w:szCs w:val="28"/>
          <w:lang w:val="uk-UA"/>
        </w:rPr>
        <w:t>та його профілактика;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i/>
          <w:iCs/>
          <w:color w:val="000000" w:themeColor="text1"/>
          <w:sz w:val="28"/>
          <w:szCs w:val="28"/>
          <w:lang w:val="uk-UA"/>
        </w:rPr>
        <w:t>культурно-мистецькому</w:t>
      </w:r>
      <w:r w:rsidRPr="00E37896">
        <w:rPr>
          <w:color w:val="000000" w:themeColor="text1"/>
          <w:sz w:val="28"/>
          <w:szCs w:val="28"/>
          <w:lang w:val="uk-UA"/>
        </w:rPr>
        <w:t xml:space="preserve"> – сприяння духовному розвитку </w:t>
      </w:r>
      <w:r w:rsidRPr="00E37896">
        <w:rPr>
          <w:bCs/>
          <w:color w:val="000000" w:themeColor="text1"/>
          <w:sz w:val="28"/>
          <w:szCs w:val="28"/>
          <w:lang w:val="uk-UA"/>
        </w:rPr>
        <w:t>дітей та підлітків</w:t>
      </w:r>
      <w:r w:rsidRPr="00E37896">
        <w:rPr>
          <w:color w:val="000000" w:themeColor="text1"/>
          <w:sz w:val="28"/>
          <w:szCs w:val="28"/>
          <w:lang w:val="uk-UA"/>
        </w:rPr>
        <w:t>, виховання почуття патріотизму на прикладах героїзму ліквідаторів;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 xml:space="preserve">фінансова </w:t>
      </w:r>
      <w:r w:rsidRPr="00E37896">
        <w:rPr>
          <w:bCs/>
          <w:color w:val="000000" w:themeColor="text1"/>
          <w:sz w:val="28"/>
          <w:szCs w:val="28"/>
          <w:lang w:val="uk-UA"/>
        </w:rPr>
        <w:t xml:space="preserve">підтримка </w:t>
      </w:r>
      <w:r w:rsidRPr="00E37896">
        <w:rPr>
          <w:color w:val="000000" w:themeColor="text1"/>
          <w:sz w:val="28"/>
          <w:szCs w:val="28"/>
          <w:lang w:val="uk-UA" w:eastAsia="ru-RU"/>
        </w:rPr>
        <w:t>громадської організації «Ветерани Чорнобиля м. Лисичанська»</w:t>
      </w:r>
      <w:r w:rsidRPr="00E37896">
        <w:rPr>
          <w:color w:val="000000" w:themeColor="text1"/>
          <w:sz w:val="28"/>
          <w:szCs w:val="28"/>
          <w:lang w:val="uk-UA"/>
        </w:rPr>
        <w:t>, для здійснення статутної діяльності.</w:t>
      </w: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 xml:space="preserve">ІV. </w:t>
      </w:r>
      <w:r w:rsidRPr="00E37896">
        <w:rPr>
          <w:b/>
          <w:color w:val="000000" w:themeColor="text1"/>
          <w:sz w:val="28"/>
          <w:szCs w:val="28"/>
          <w:lang w:val="uk-UA"/>
        </w:rPr>
        <w:t>Перелік основних завдань Програми та результативні показники</w:t>
      </w:r>
    </w:p>
    <w:p w:rsidR="0062747B" w:rsidRPr="00E37896" w:rsidRDefault="0062747B" w:rsidP="0062747B">
      <w:pPr>
        <w:suppressAutoHyphens/>
        <w:ind w:firstLine="567"/>
        <w:jc w:val="center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Для досягнення мети Програми передбачається розв’язання таких основних завдань: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проведення зустрічей, «круглих столів», нарад, конференцій з метою розгляду проблемних питань соціальної спрямованості;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своєчасне висвітлення в засобах масової інформації змін у чинному законодавстві щодо отримання адміністративних та соціальних послуг, медичного обслуговування</w:t>
      </w:r>
      <w:r w:rsidRPr="00E37896">
        <w:rPr>
          <w:bCs/>
          <w:color w:val="000000" w:themeColor="text1"/>
          <w:sz w:val="28"/>
          <w:szCs w:val="28"/>
          <w:lang w:val="uk-UA"/>
        </w:rPr>
        <w:t>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організація роботи щодо забезпечення санаторно-курортним лікуванням та оздоровленням;</w:t>
      </w:r>
    </w:p>
    <w:p w:rsidR="0062747B" w:rsidRPr="00E37896" w:rsidRDefault="0062747B" w:rsidP="0062747B">
      <w:pPr>
        <w:suppressAutoHyphens/>
        <w:ind w:firstLine="851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>посилення уваги до сімей померлих учасників ліквідації аварії на Чорнобильській АЕС;</w:t>
      </w:r>
    </w:p>
    <w:p w:rsidR="0062747B" w:rsidRPr="00E37896" w:rsidRDefault="0062747B" w:rsidP="0062747B">
      <w:pPr>
        <w:suppressAutoHyphens/>
        <w:ind w:firstLine="851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bCs/>
          <w:color w:val="000000" w:themeColor="text1"/>
          <w:sz w:val="28"/>
          <w:szCs w:val="28"/>
          <w:lang w:val="uk-UA"/>
        </w:rPr>
        <w:t>поліпшення якості</w:t>
      </w: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 xml:space="preserve"> медичного обслуговування постраждалих громадян;</w:t>
      </w:r>
    </w:p>
    <w:p w:rsidR="0062747B" w:rsidRPr="00E37896" w:rsidRDefault="0062747B" w:rsidP="0062747B">
      <w:pPr>
        <w:suppressAutoHyphens/>
        <w:ind w:firstLine="851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>організація та проведення заходів, пов’язаних з роковинами Чорнобильської катастрофи;</w:t>
      </w:r>
    </w:p>
    <w:p w:rsidR="0062747B" w:rsidRPr="00E37896" w:rsidRDefault="0062747B" w:rsidP="0062747B">
      <w:pPr>
        <w:suppressAutoHyphens/>
        <w:ind w:firstLine="851"/>
        <w:jc w:val="both"/>
        <w:rPr>
          <w:rFonts w:eastAsia="Arial"/>
          <w:color w:val="000000" w:themeColor="text1"/>
          <w:sz w:val="28"/>
          <w:szCs w:val="28"/>
          <w:lang w:val="uk-UA" w:eastAsia="ru-RU"/>
        </w:rPr>
      </w:pPr>
      <w:r w:rsidRPr="00E37896">
        <w:rPr>
          <w:rFonts w:eastAsia="Arial"/>
          <w:color w:val="000000" w:themeColor="text1"/>
          <w:sz w:val="28"/>
          <w:szCs w:val="28"/>
          <w:lang w:val="uk-UA" w:eastAsia="ru-RU"/>
        </w:rPr>
        <w:t>співпраця органів виконавчої влади з громадською організацією «Ветерани Чорнобиля м. Лисичанська».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Виконання Програми сприятиме поліпшенню соціально-медичного забезпечення громадян, які постраждали внаслідок Чорнобильської катастрофи, підвищенню рівня забезпеченості та захищеності зазначеної категорії громадян.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У процесі реалізації цієї Програми очікується досягнення таких результатів: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підвищення правової грамотності;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надання якісних соціальних послуг;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своєчасне та повноцінне лікування</w:t>
      </w:r>
      <w:r w:rsidRPr="00E37896">
        <w:rPr>
          <w:bCs/>
          <w:color w:val="000000" w:themeColor="text1"/>
          <w:sz w:val="28"/>
          <w:szCs w:val="28"/>
          <w:lang w:val="uk-UA"/>
        </w:rPr>
        <w:t>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забезпечення санаторно-курортним лікуванням та оздоровленням;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lastRenderedPageBreak/>
        <w:t>вшанування пам’яті ліквідаторів наслідків аварії на ЧАЕС та осіб, постраждалих від Чорнобильської катастрофи;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>забезпечення сприятливих умов для роботи громадської організації «Ветерани Чорнобиля м. Лисичанська».</w:t>
      </w:r>
    </w:p>
    <w:p w:rsidR="0062747B" w:rsidRPr="00E37896" w:rsidRDefault="0062747B" w:rsidP="0062747B">
      <w:pPr>
        <w:suppressAutoHyphens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V. Напрями діяльності та заходи</w:t>
      </w:r>
    </w:p>
    <w:p w:rsidR="0062747B" w:rsidRPr="00E37896" w:rsidRDefault="0062747B" w:rsidP="0062747B">
      <w:pPr>
        <w:suppressAutoHyphens/>
        <w:ind w:firstLine="708"/>
        <w:jc w:val="center"/>
        <w:rPr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Напрями діяльності та заходи Програми викладені у додатку до Програми.</w:t>
      </w:r>
    </w:p>
    <w:p w:rsidR="0062747B" w:rsidRPr="00E37896" w:rsidRDefault="0062747B" w:rsidP="0062747B">
      <w:pPr>
        <w:suppressAutoHyphens/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VІ. Ресурсне забезпечення</w:t>
      </w: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ind w:firstLine="851"/>
        <w:jc w:val="both"/>
        <w:rPr>
          <w:rFonts w:eastAsia="Arial"/>
          <w:bCs/>
          <w:color w:val="000000" w:themeColor="text1"/>
          <w:sz w:val="28"/>
          <w:szCs w:val="28"/>
          <w:lang w:val="uk-UA"/>
        </w:rPr>
      </w:pPr>
      <w:r w:rsidRPr="00E37896">
        <w:rPr>
          <w:rFonts w:eastAsia="Arial"/>
          <w:bCs/>
          <w:color w:val="000000" w:themeColor="text1"/>
          <w:sz w:val="28"/>
          <w:szCs w:val="28"/>
          <w:lang w:val="uk-UA"/>
        </w:rPr>
        <w:t xml:space="preserve">Виконання Програми забезпечується за рахунок коштів, передбачених у державному, обласному бюджетах та бюджеті Лисичанської міської територіальної громади, на зазначену мету, а також з інших джерел, не заборонених чинним законодавством. </w:t>
      </w:r>
    </w:p>
    <w:p w:rsidR="0062747B" w:rsidRPr="00E37896" w:rsidRDefault="0062747B" w:rsidP="0062747B">
      <w:pPr>
        <w:suppressAutoHyphens/>
        <w:jc w:val="both"/>
        <w:rPr>
          <w:bCs/>
          <w:color w:val="000000" w:themeColor="text1"/>
          <w:sz w:val="28"/>
          <w:szCs w:val="28"/>
          <w:lang w:val="uk-UA"/>
        </w:rPr>
      </w:pPr>
      <w:r w:rsidRPr="00E37896">
        <w:rPr>
          <w:bCs/>
          <w:color w:val="000000" w:themeColor="text1"/>
          <w:sz w:val="28"/>
          <w:szCs w:val="28"/>
          <w:lang w:val="uk-UA"/>
        </w:rPr>
        <w:tab/>
        <w:t xml:space="preserve">Обсяг ресурсів, які планується залучити на виконання Програми складає </w:t>
      </w:r>
      <w:r w:rsidRPr="00E37896">
        <w:rPr>
          <w:b/>
          <w:color w:val="000000" w:themeColor="text1"/>
          <w:sz w:val="28"/>
          <w:szCs w:val="28"/>
          <w:lang w:val="uk-UA"/>
        </w:rPr>
        <w:t>19132,355</w:t>
      </w:r>
      <w:r w:rsidRPr="00E37896">
        <w:rPr>
          <w:color w:val="000000" w:themeColor="text1"/>
          <w:sz w:val="28"/>
          <w:szCs w:val="28"/>
          <w:lang w:val="uk-UA"/>
        </w:rPr>
        <w:t xml:space="preserve"> </w:t>
      </w:r>
      <w:r w:rsidRPr="00E37896">
        <w:rPr>
          <w:b/>
          <w:bCs/>
          <w:color w:val="000000" w:themeColor="text1"/>
          <w:sz w:val="28"/>
          <w:szCs w:val="28"/>
          <w:lang w:val="uk-UA"/>
        </w:rPr>
        <w:t xml:space="preserve">тис. </w:t>
      </w:r>
      <w:proofErr w:type="spellStart"/>
      <w:r w:rsidRPr="00E37896">
        <w:rPr>
          <w:b/>
          <w:bCs/>
          <w:color w:val="000000" w:themeColor="text1"/>
          <w:sz w:val="28"/>
          <w:szCs w:val="28"/>
          <w:lang w:val="uk-UA"/>
        </w:rPr>
        <w:t>грн</w:t>
      </w:r>
      <w:proofErr w:type="spellEnd"/>
      <w:r w:rsidRPr="00E37896"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Pr="00E37896">
        <w:rPr>
          <w:bCs/>
          <w:color w:val="000000" w:themeColor="text1"/>
          <w:sz w:val="28"/>
          <w:szCs w:val="28"/>
          <w:lang w:val="uk-UA"/>
        </w:rPr>
        <w:t>а саме:</w:t>
      </w:r>
    </w:p>
    <w:p w:rsidR="0062747B" w:rsidRPr="00E37896" w:rsidRDefault="0062747B" w:rsidP="0062747B">
      <w:pPr>
        <w:suppressAutoHyphens/>
        <w:jc w:val="right"/>
        <w:rPr>
          <w:bCs/>
          <w:color w:val="000000" w:themeColor="text1"/>
          <w:sz w:val="28"/>
          <w:szCs w:val="28"/>
          <w:lang w:val="uk-UA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1276"/>
        <w:gridCol w:w="1275"/>
        <w:gridCol w:w="1276"/>
        <w:gridCol w:w="1276"/>
      </w:tblGrid>
      <w:tr w:rsidR="0062747B" w:rsidRPr="00E37896" w:rsidTr="007A5C8C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У тому числі по роках</w:t>
            </w:r>
          </w:p>
        </w:tc>
      </w:tr>
      <w:tr w:rsidR="0062747B" w:rsidRPr="00E37896" w:rsidTr="007A5C8C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2026</w:t>
            </w:r>
          </w:p>
        </w:tc>
      </w:tr>
      <w:tr w:rsidR="0062747B" w:rsidRPr="00E37896" w:rsidTr="007A5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3392,440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631,745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665,228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698,489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698,489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698,489</w:t>
            </w:r>
          </w:p>
        </w:tc>
      </w:tr>
      <w:tr w:rsidR="0062747B" w:rsidRPr="00E37896" w:rsidTr="007A5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13799,345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2723,492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2742,580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2762,787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2784,181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2786,305</w:t>
            </w:r>
          </w:p>
        </w:tc>
      </w:tr>
      <w:tr w:rsidR="0062747B" w:rsidRPr="00E37896" w:rsidTr="007A5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1939,070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448,392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477,354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501,936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255,544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255,544</w:t>
            </w:r>
          </w:p>
        </w:tc>
      </w:tr>
      <w:tr w:rsidR="0062747B" w:rsidRPr="00E37896" w:rsidTr="007A5C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Позабюджетні кошти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0,300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0,300</w:t>
            </w:r>
          </w:p>
        </w:tc>
      </w:tr>
      <w:tr w:rsidR="0062747B" w:rsidRPr="00E37896" w:rsidTr="007A5C8C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19132,355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3804,229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3885,462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3963,512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3738,514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37896" w:rsidRDefault="0062747B" w:rsidP="007A5C8C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37896">
              <w:rPr>
                <w:color w:val="000000" w:themeColor="text1"/>
                <w:sz w:val="28"/>
                <w:szCs w:val="28"/>
                <w:lang w:val="uk-UA"/>
              </w:rPr>
              <w:t>3740,638</w:t>
            </w:r>
          </w:p>
        </w:tc>
      </w:tr>
    </w:tbl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suppressAutoHyphens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37896">
        <w:rPr>
          <w:b/>
          <w:bCs/>
          <w:color w:val="000000" w:themeColor="text1"/>
          <w:sz w:val="28"/>
          <w:szCs w:val="28"/>
          <w:lang w:val="uk-UA"/>
        </w:rPr>
        <w:t>VII. Координація та контроль за ходом виконання Програми</w:t>
      </w:r>
    </w:p>
    <w:p w:rsidR="0062747B" w:rsidRPr="00E37896" w:rsidRDefault="0062747B" w:rsidP="0062747B">
      <w:pPr>
        <w:suppressAutoHyphens/>
        <w:jc w:val="center"/>
        <w:rPr>
          <w:bCs/>
          <w:color w:val="000000" w:themeColor="text1"/>
          <w:sz w:val="28"/>
          <w:szCs w:val="28"/>
          <w:lang w:val="uk-UA"/>
        </w:rPr>
      </w:pPr>
    </w:p>
    <w:p w:rsidR="0062747B" w:rsidRPr="00E37896" w:rsidRDefault="0062747B" w:rsidP="0062747B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37896">
        <w:rPr>
          <w:color w:val="000000" w:themeColor="text1"/>
          <w:sz w:val="28"/>
          <w:szCs w:val="28"/>
          <w:lang w:val="uk-UA"/>
        </w:rPr>
        <w:t>Координація та контроль за виконанням Програми покладаються на УСЗН.</w:t>
      </w:r>
    </w:p>
    <w:p w:rsidR="0062747B" w:rsidRPr="00E37896" w:rsidRDefault="0062747B" w:rsidP="0062747B">
      <w:pPr>
        <w:pStyle w:val="31"/>
        <w:ind w:firstLine="720"/>
        <w:rPr>
          <w:color w:val="000000" w:themeColor="text1"/>
          <w:szCs w:val="28"/>
        </w:rPr>
      </w:pPr>
      <w:r w:rsidRPr="00E37896">
        <w:rPr>
          <w:color w:val="000000" w:themeColor="text1"/>
          <w:szCs w:val="28"/>
        </w:rPr>
        <w:t>Виконавці Програми надають УСЗН інформацію про стан її виконання до 20 січня наступного за звітним року.</w:t>
      </w:r>
    </w:p>
    <w:p w:rsidR="0062747B" w:rsidRPr="00E37896" w:rsidRDefault="0062747B" w:rsidP="0062747B">
      <w:pPr>
        <w:pStyle w:val="31"/>
        <w:ind w:firstLine="720"/>
        <w:rPr>
          <w:color w:val="000000" w:themeColor="text1"/>
          <w:szCs w:val="28"/>
        </w:rPr>
      </w:pPr>
      <w:r w:rsidRPr="00E37896">
        <w:rPr>
          <w:color w:val="000000" w:themeColor="text1"/>
          <w:szCs w:val="28"/>
        </w:rPr>
        <w:t>Відділ з питань внутрішньої політики та організаційної роботи забезпечує висвітлення на офіційному сайті Лисичанської міської ВЦА інформацію про хід виконання Програми.</w:t>
      </w:r>
    </w:p>
    <w:p w:rsidR="0062747B" w:rsidRPr="00E37896" w:rsidRDefault="0062747B" w:rsidP="0062747B">
      <w:pPr>
        <w:pStyle w:val="31"/>
        <w:ind w:firstLine="720"/>
        <w:rPr>
          <w:color w:val="000000" w:themeColor="text1"/>
          <w:szCs w:val="28"/>
        </w:rPr>
      </w:pPr>
    </w:p>
    <w:p w:rsidR="0062747B" w:rsidRPr="00E37896" w:rsidRDefault="0062747B" w:rsidP="0062747B">
      <w:pPr>
        <w:pStyle w:val="31"/>
        <w:ind w:firstLine="720"/>
        <w:rPr>
          <w:color w:val="000000" w:themeColor="text1"/>
          <w:szCs w:val="28"/>
        </w:rPr>
      </w:pPr>
    </w:p>
    <w:p w:rsidR="0062747B" w:rsidRPr="00E37896" w:rsidRDefault="0062747B" w:rsidP="0062747B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 управління </w:t>
      </w:r>
    </w:p>
    <w:p w:rsidR="0062747B" w:rsidRPr="00E37896" w:rsidRDefault="0062747B" w:rsidP="0062747B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соціального захисту населення </w:t>
      </w:r>
    </w:p>
    <w:p w:rsidR="0062747B" w:rsidRPr="00E37896" w:rsidRDefault="0062747B" w:rsidP="0062747B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Лисичанської міської ВЦА</w:t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 </w:t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378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        Олена БЄЛАН</w:t>
      </w:r>
    </w:p>
    <w:p w:rsidR="0062747B" w:rsidRDefault="0062747B" w:rsidP="0062747B">
      <w:pPr>
        <w:suppressAutoHyphens/>
        <w:jc w:val="right"/>
        <w:rPr>
          <w:bCs/>
          <w:color w:val="000000" w:themeColor="text1"/>
          <w:sz w:val="28"/>
          <w:szCs w:val="28"/>
          <w:lang w:val="uk-UA"/>
        </w:rPr>
        <w:sectPr w:rsidR="0062747B" w:rsidSect="00880BE6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62747B" w:rsidRDefault="0062747B" w:rsidP="0062747B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lastRenderedPageBreak/>
        <w:t>Додаток</w:t>
      </w:r>
    </w:p>
    <w:p w:rsidR="0062747B" w:rsidRDefault="0062747B" w:rsidP="0062747B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</w:t>
      </w:r>
      <w:r w:rsidRPr="00CC7C93">
        <w:rPr>
          <w:sz w:val="28"/>
          <w:szCs w:val="28"/>
          <w:lang w:val="uk-UA"/>
        </w:rPr>
        <w:t>рограми</w:t>
      </w:r>
      <w:r>
        <w:rPr>
          <w:sz w:val="28"/>
          <w:szCs w:val="28"/>
          <w:lang w:val="uk-UA"/>
        </w:rPr>
        <w:t xml:space="preserve"> </w:t>
      </w:r>
      <w:r w:rsidRPr="00CC7C93">
        <w:rPr>
          <w:sz w:val="28"/>
          <w:szCs w:val="28"/>
          <w:lang w:val="uk-UA"/>
        </w:rPr>
        <w:t>соціального</w:t>
      </w:r>
    </w:p>
    <w:p w:rsidR="0062747B" w:rsidRDefault="0062747B" w:rsidP="0062747B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>захисту громадян, які постраждали внаслідок</w:t>
      </w:r>
      <w:r>
        <w:rPr>
          <w:sz w:val="28"/>
          <w:szCs w:val="28"/>
          <w:lang w:val="uk-UA"/>
        </w:rPr>
        <w:t xml:space="preserve"> </w:t>
      </w:r>
      <w:r w:rsidRPr="00CC7C93">
        <w:rPr>
          <w:sz w:val="28"/>
          <w:szCs w:val="28"/>
          <w:lang w:val="uk-UA"/>
        </w:rPr>
        <w:t>Чорнобильської катастрофи</w:t>
      </w:r>
      <w:r>
        <w:rPr>
          <w:sz w:val="28"/>
          <w:szCs w:val="28"/>
          <w:lang w:val="uk-UA"/>
        </w:rPr>
        <w:t>,</w:t>
      </w:r>
    </w:p>
    <w:p w:rsidR="0062747B" w:rsidRPr="00CC7C93" w:rsidRDefault="0062747B" w:rsidP="0062747B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22</w:t>
      </w:r>
      <w:r w:rsidRPr="00CC7C93">
        <w:rPr>
          <w:sz w:val="28"/>
          <w:szCs w:val="28"/>
          <w:lang w:val="uk-UA"/>
        </w:rPr>
        <w:t xml:space="preserve"> - 202</w:t>
      </w:r>
      <w:r>
        <w:rPr>
          <w:sz w:val="28"/>
          <w:szCs w:val="28"/>
          <w:lang w:val="uk-UA"/>
        </w:rPr>
        <w:t>6</w:t>
      </w:r>
      <w:r w:rsidRPr="00CC7C93">
        <w:rPr>
          <w:sz w:val="28"/>
          <w:szCs w:val="28"/>
          <w:lang w:val="uk-UA"/>
        </w:rPr>
        <w:t xml:space="preserve"> роки</w:t>
      </w:r>
    </w:p>
    <w:p w:rsidR="0062747B" w:rsidRDefault="0062747B" w:rsidP="0062747B">
      <w:pPr>
        <w:pStyle w:val="a8"/>
        <w:ind w:left="10915"/>
        <w:rPr>
          <w:sz w:val="28"/>
          <w:szCs w:val="28"/>
          <w:lang w:val="uk-UA"/>
        </w:rPr>
      </w:pPr>
    </w:p>
    <w:p w:rsidR="0062747B" w:rsidRPr="00F902B7" w:rsidRDefault="0062747B" w:rsidP="0062747B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 xml:space="preserve">Напрями діяльності та </w:t>
      </w:r>
      <w:r w:rsidRPr="00C10C86">
        <w:rPr>
          <w:b/>
          <w:sz w:val="28"/>
          <w:szCs w:val="28"/>
          <w:lang w:val="uk-UA"/>
        </w:rPr>
        <w:t>заходи Програми</w:t>
      </w:r>
      <w:r w:rsidRPr="00F902B7">
        <w:rPr>
          <w:b/>
          <w:sz w:val="28"/>
          <w:szCs w:val="28"/>
          <w:lang w:val="uk-UA"/>
        </w:rPr>
        <w:t xml:space="preserve"> соціального захисту громадян,</w:t>
      </w:r>
    </w:p>
    <w:p w:rsidR="0062747B" w:rsidRDefault="0062747B" w:rsidP="0062747B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>які постраждали внаслідок Чорнобильської катастрофи</w:t>
      </w:r>
      <w:r>
        <w:rPr>
          <w:b/>
          <w:sz w:val="28"/>
          <w:szCs w:val="28"/>
          <w:lang w:val="uk-UA"/>
        </w:rPr>
        <w:t>,</w:t>
      </w:r>
      <w:r w:rsidRPr="00F902B7">
        <w:rPr>
          <w:b/>
          <w:sz w:val="28"/>
          <w:szCs w:val="28"/>
          <w:lang w:val="uk-UA"/>
        </w:rPr>
        <w:t xml:space="preserve"> на 20</w:t>
      </w:r>
      <w:r>
        <w:rPr>
          <w:b/>
          <w:sz w:val="28"/>
          <w:szCs w:val="28"/>
          <w:lang w:val="uk-UA"/>
        </w:rPr>
        <w:t>22</w:t>
      </w:r>
      <w:r w:rsidRPr="00F902B7">
        <w:rPr>
          <w:b/>
          <w:sz w:val="28"/>
          <w:szCs w:val="28"/>
          <w:lang w:val="uk-UA"/>
        </w:rPr>
        <w:t xml:space="preserve"> - 202</w:t>
      </w:r>
      <w:r>
        <w:rPr>
          <w:b/>
          <w:sz w:val="28"/>
          <w:szCs w:val="28"/>
          <w:lang w:val="uk-UA"/>
        </w:rPr>
        <w:t>6</w:t>
      </w:r>
      <w:r w:rsidRPr="00F902B7">
        <w:rPr>
          <w:b/>
          <w:sz w:val="28"/>
          <w:szCs w:val="28"/>
          <w:lang w:val="uk-UA"/>
        </w:rPr>
        <w:t xml:space="preserve"> роки</w:t>
      </w:r>
    </w:p>
    <w:p w:rsidR="0062747B" w:rsidRPr="00F902B7" w:rsidRDefault="0062747B" w:rsidP="0062747B">
      <w:pPr>
        <w:suppressAutoHyphens/>
        <w:jc w:val="center"/>
        <w:rPr>
          <w:b/>
          <w:sz w:val="28"/>
          <w:szCs w:val="28"/>
          <w:lang w:val="uk-UA"/>
        </w:rPr>
      </w:pPr>
    </w:p>
    <w:p w:rsidR="0062747B" w:rsidRPr="000970A0" w:rsidRDefault="0062747B" w:rsidP="0062747B">
      <w:pPr>
        <w:tabs>
          <w:tab w:val="left" w:pos="7000"/>
        </w:tabs>
        <w:suppressAutoHyphens/>
        <w:ind w:left="4680" w:firstLine="708"/>
        <w:jc w:val="right"/>
        <w:rPr>
          <w:sz w:val="16"/>
          <w:szCs w:val="16"/>
          <w:lang w:val="uk-UA"/>
        </w:rPr>
      </w:pPr>
    </w:p>
    <w:tbl>
      <w:tblPr>
        <w:tblW w:w="1576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1276"/>
        <w:gridCol w:w="2237"/>
        <w:gridCol w:w="1842"/>
        <w:gridCol w:w="1134"/>
        <w:gridCol w:w="1134"/>
        <w:gridCol w:w="1134"/>
        <w:gridCol w:w="1134"/>
        <w:gridCol w:w="1134"/>
        <w:gridCol w:w="1874"/>
      </w:tblGrid>
      <w:tr w:rsidR="0062747B" w:rsidRPr="00000C91" w:rsidTr="007A5C8C">
        <w:trPr>
          <w:trHeight w:val="854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№ з/п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57163B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Перелік заходів</w:t>
            </w:r>
          </w:p>
          <w:p w:rsidR="0062747B" w:rsidRPr="0057163B" w:rsidRDefault="0062747B" w:rsidP="007A5C8C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57163B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Термін</w:t>
            </w:r>
          </w:p>
          <w:p w:rsidR="0062747B" w:rsidRPr="0057163B" w:rsidRDefault="0062747B" w:rsidP="0062747B">
            <w:pPr>
              <w:suppressAutoHyphens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57163B">
              <w:rPr>
                <w:lang w:val="uk-UA"/>
              </w:rPr>
              <w:t>виконан-ня</w:t>
            </w:r>
            <w:proofErr w:type="spellEnd"/>
            <w:r>
              <w:rPr>
                <w:lang w:val="uk-UA"/>
              </w:rPr>
              <w:t xml:space="preserve"> </w:t>
            </w:r>
            <w:r w:rsidRPr="0057163B">
              <w:rPr>
                <w:lang w:val="uk-UA"/>
              </w:rPr>
              <w:t>заходу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Джерела</w:t>
            </w:r>
          </w:p>
          <w:p w:rsidR="0062747B" w:rsidRPr="0057163B" w:rsidRDefault="0062747B" w:rsidP="007A5C8C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фінансування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 xml:space="preserve">Орієнтовані обсяги фінансування (вартість) </w:t>
            </w:r>
          </w:p>
          <w:p w:rsidR="0062747B" w:rsidRPr="0057163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по роках, тис. грн.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57163B" w:rsidRDefault="0062747B" w:rsidP="007A5C8C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Очікуваний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57163B">
              <w:rPr>
                <w:lang w:val="uk-UA"/>
              </w:rPr>
              <w:t>результат</w:t>
            </w:r>
          </w:p>
        </w:tc>
      </w:tr>
      <w:tr w:rsidR="0062747B" w:rsidRPr="00000C91" w:rsidTr="0062747B">
        <w:trPr>
          <w:trHeight w:val="4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rPr>
                <w:lang w:val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57163B" w:rsidRDefault="0062747B" w:rsidP="007A5C8C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57163B" w:rsidRDefault="0062747B" w:rsidP="007A5C8C">
            <w:pPr>
              <w:rPr>
                <w:lang w:val="uk-UA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57163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lang w:val="uk-UA"/>
              </w:rPr>
            </w:pPr>
            <w:r w:rsidRPr="0057163B">
              <w:rPr>
                <w:lang w:val="uk-UA"/>
              </w:rPr>
              <w:t>2026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rPr>
                <w:sz w:val="25"/>
                <w:szCs w:val="25"/>
                <w:lang w:val="uk-UA"/>
              </w:rPr>
            </w:pPr>
          </w:p>
        </w:tc>
      </w:tr>
      <w:tr w:rsidR="0062747B" w:rsidRPr="00000C91" w:rsidTr="007A5C8C">
        <w:trPr>
          <w:trHeight w:val="576"/>
        </w:trPr>
        <w:tc>
          <w:tcPr>
            <w:tcW w:w="15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1. Правовий захист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1.1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ind w:right="86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Сприяння проведенню зустрічей, нарад, «круглих столів» за участю керівництва Лисичанської міської ВЦА (у разі звернення громадської організації</w:t>
            </w:r>
            <w:r>
              <w:rPr>
                <w:sz w:val="25"/>
                <w:szCs w:val="25"/>
                <w:lang w:val="uk-UA"/>
              </w:rPr>
              <w:t xml:space="preserve"> «Ветерани Чорнобиля м. Лисичанська»</w:t>
            </w:r>
            <w:r w:rsidRPr="00000C91">
              <w:rPr>
                <w:sz w:val="25"/>
                <w:szCs w:val="25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left="-109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Відділ з питань внутрішньої політики та організаційної роботи, структурні підрозділи</w:t>
            </w:r>
            <w:r>
              <w:rPr>
                <w:sz w:val="25"/>
                <w:szCs w:val="25"/>
                <w:lang w:val="uk-UA"/>
              </w:rPr>
              <w:t xml:space="preserve"> Лисичанської міської</w:t>
            </w:r>
            <w:r w:rsidRPr="00000C91">
              <w:rPr>
                <w:sz w:val="25"/>
                <w:szCs w:val="25"/>
                <w:lang w:val="uk-UA"/>
              </w:rPr>
              <w:t xml:space="preserve"> ВЦА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В межах </w:t>
            </w:r>
          </w:p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кошторисних 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призначень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730E06" w:rsidRDefault="0062747B" w:rsidP="007A5C8C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Визначення нагальних проблем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та </w:t>
            </w:r>
          </w:p>
          <w:p w:rsidR="0062747B" w:rsidRPr="00000C91" w:rsidRDefault="0062747B" w:rsidP="007A5C8C">
            <w:pPr>
              <w:suppressAutoHyphens/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шляхів їх вирішення</w:t>
            </w:r>
            <w:r w:rsidRPr="00000C91">
              <w:rPr>
                <w:sz w:val="25"/>
                <w:szCs w:val="25"/>
                <w:lang w:val="uk-UA"/>
              </w:rPr>
              <w:t xml:space="preserve"> </w:t>
            </w:r>
          </w:p>
        </w:tc>
      </w:tr>
      <w:tr w:rsidR="0062747B" w:rsidRPr="00563A15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1.2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ind w:right="86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Сприяння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 xml:space="preserve">своєчасному висвітленню </w:t>
            </w:r>
            <w:r w:rsidRPr="00000C91">
              <w:rPr>
                <w:color w:val="000000"/>
                <w:sz w:val="25"/>
                <w:szCs w:val="25"/>
                <w:lang w:val="uk-UA"/>
              </w:rPr>
              <w:t xml:space="preserve">на офіційному сайті Лисичанської міської ВЦА інформаційних матеріалів про </w:t>
            </w:r>
            <w:r w:rsidRPr="00000C91">
              <w:rPr>
                <w:sz w:val="25"/>
                <w:szCs w:val="25"/>
                <w:lang w:val="uk-UA"/>
              </w:rPr>
              <w:t>зміни та доповнення у чинному законодавстві щодо отримання пільг, адміністративних та соціальних послуг, медичного обслуговування громадян, які постраждали внаслідок аварії на Чорнобильській АЕС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Відділ з питань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внутрішньої політики та організаційної роботи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 xml:space="preserve">В межах </w:t>
            </w:r>
          </w:p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 xml:space="preserve">кошторисних 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призначень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Підвищення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рівня правової грамотності громадян, які постраждали внаслідок аварії на Чорнобильській АЕС</w:t>
            </w:r>
          </w:p>
        </w:tc>
      </w:tr>
      <w:tr w:rsidR="0062747B" w:rsidRPr="00000C91" w:rsidTr="007A5C8C">
        <w:trPr>
          <w:trHeight w:val="412"/>
        </w:trPr>
        <w:tc>
          <w:tcPr>
            <w:tcW w:w="15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lastRenderedPageBreak/>
              <w:t>2. Соціальний захист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Надання фінансової підтримки ГО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 xml:space="preserve">«Ветерани Чорнобиля </w:t>
            </w:r>
            <w:proofErr w:type="spellStart"/>
            <w:r w:rsidRPr="00000C91">
              <w:rPr>
                <w:sz w:val="25"/>
                <w:szCs w:val="25"/>
                <w:lang w:val="uk-UA"/>
              </w:rPr>
              <w:t>м.Лисичанська</w:t>
            </w:r>
            <w:proofErr w:type="spellEnd"/>
            <w:r w:rsidRPr="00000C91">
              <w:rPr>
                <w:sz w:val="25"/>
                <w:szCs w:val="25"/>
                <w:lang w:val="uk-UA"/>
              </w:rPr>
              <w:t>», необхідної для здійснення її статутних завдань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Лисичанська міська ВЦА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бюджет Лисичанської міської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213,744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232,074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246,392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2F5496"/>
                <w:sz w:val="25"/>
                <w:szCs w:val="25"/>
                <w:lang w:val="uk-UA"/>
              </w:rPr>
            </w:pPr>
            <w:r w:rsidRPr="00000C91">
              <w:rPr>
                <w:color w:val="2F5496"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Фінансова підтримка громадської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організації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Надання матеріальної допомоги сім`ям</w:t>
            </w:r>
            <w:r>
              <w:rPr>
                <w:sz w:val="25"/>
                <w:szCs w:val="25"/>
                <w:lang w:val="uk-UA"/>
              </w:rPr>
              <w:t xml:space="preserve">, </w:t>
            </w:r>
            <w:r w:rsidRPr="00000C91">
              <w:rPr>
                <w:sz w:val="25"/>
                <w:szCs w:val="25"/>
                <w:lang w:val="uk-UA"/>
              </w:rPr>
              <w:t>у випадку втрати годувальника із числа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ліквідаторів аварії на ЧАЕС, евакуйованих та потерпілих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47B" w:rsidRPr="00A60888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60888">
              <w:rPr>
                <w:sz w:val="25"/>
                <w:szCs w:val="25"/>
                <w:lang w:val="uk-UA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747B" w:rsidRPr="00A60888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60888">
              <w:rPr>
                <w:sz w:val="25"/>
                <w:szCs w:val="25"/>
                <w:lang w:val="uk-UA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47B" w:rsidRPr="00A60888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60888">
              <w:rPr>
                <w:sz w:val="25"/>
                <w:szCs w:val="25"/>
                <w:lang w:val="uk-UA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747B" w:rsidRPr="00A60888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60888">
              <w:rPr>
                <w:sz w:val="25"/>
                <w:szCs w:val="25"/>
                <w:lang w:val="uk-UA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747B" w:rsidRPr="00A60888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60888">
              <w:rPr>
                <w:sz w:val="25"/>
                <w:szCs w:val="25"/>
                <w:lang w:val="uk-UA"/>
              </w:rPr>
              <w:t>40,000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Матеріальна підтримка сімей, які втратили годувальника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2.</w:t>
            </w:r>
            <w:r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Надання соціальних послуг громадянам, постраж</w:t>
            </w:r>
            <w:r>
              <w:rPr>
                <w:sz w:val="25"/>
                <w:szCs w:val="25"/>
                <w:lang w:val="uk-UA"/>
              </w:rPr>
              <w:t>далим внаслідок аварії на ЧАЕС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Лисичанський територіальний центр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В межах </w:t>
            </w:r>
          </w:p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кошторисних 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призначень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Соціальне обслуговування громадян, які перебувають у складних життєвих обставинах і потребують сторонньої допомоги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Організація роботи щодо забезпечення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громадян, які постраждали внаслідок Чорнобильської катастрофи, віднесених до категорії 1, санаторно-курортним лікуванням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631,745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665,228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698,489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698,489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rPr>
                <w:color w:val="000000" w:themeColor="text1"/>
                <w:sz w:val="25"/>
                <w:szCs w:val="25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698,489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 xml:space="preserve">Покращення стану здоров’я </w:t>
            </w:r>
            <w:r w:rsidRPr="00E1667B">
              <w:rPr>
                <w:color w:val="000000" w:themeColor="text1"/>
                <w:sz w:val="25"/>
                <w:szCs w:val="25"/>
                <w:lang w:val="uk-UA"/>
              </w:rPr>
              <w:lastRenderedPageBreak/>
              <w:t>громадян, які постраждали внаслідок аварії на ЧАЕС, віднесених до категорії 1</w:t>
            </w:r>
          </w:p>
        </w:tc>
      </w:tr>
      <w:tr w:rsidR="0062747B" w:rsidRPr="00000C91" w:rsidTr="007A5C8C">
        <w:trPr>
          <w:trHeight w:val="8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2.5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Організація роботи щодо забезпечення громадян, які постраждали внаслідок Чорнобильської катастрофи, віднесених до категорії 2, санаторно-курортним лікуванням шляхом надання грошової допомоги для компенсації вартості путівок санаторно-курортним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закладам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189,516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199,560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209,538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209,538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209,538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2</w:t>
            </w:r>
          </w:p>
        </w:tc>
      </w:tr>
      <w:tr w:rsidR="0062747B" w:rsidRPr="00000C91" w:rsidTr="007A5C8C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2.6</w:t>
            </w: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Компенсація громадянам, які постраждали внаслідок Чорнобильської катастрофи 1,2 категорії, один раз на рік вартості проїзду міжміським транспортом до будь-якого пункту України і назад, відповідно Закону України «Про статус і соціальний захист громадян, які постраждали внаслідок Чорнобильської катастрофи» </w:t>
            </w:r>
          </w:p>
          <w:p w:rsidR="0062747B" w:rsidRPr="00000C91" w:rsidRDefault="0062747B" w:rsidP="007A5C8C">
            <w:pPr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УСЗН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000C91">
              <w:rPr>
                <w:color w:val="000000" w:themeColor="text1"/>
                <w:sz w:val="25"/>
                <w:szCs w:val="25"/>
                <w:lang w:val="uk-UA"/>
              </w:rPr>
              <w:t>5,432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000C91">
              <w:rPr>
                <w:color w:val="000000" w:themeColor="text1"/>
                <w:sz w:val="25"/>
                <w:szCs w:val="25"/>
                <w:lang w:val="uk-UA"/>
              </w:rPr>
              <w:t>5,720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000C91">
              <w:rPr>
                <w:color w:val="000000" w:themeColor="text1"/>
                <w:sz w:val="25"/>
                <w:szCs w:val="25"/>
                <w:lang w:val="uk-UA"/>
              </w:rPr>
              <w:t>6,006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000C91">
              <w:rPr>
                <w:color w:val="000000" w:themeColor="text1"/>
                <w:sz w:val="25"/>
                <w:szCs w:val="25"/>
                <w:lang w:val="uk-UA"/>
              </w:rPr>
              <w:t>6,006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000C91">
              <w:rPr>
                <w:color w:val="000000" w:themeColor="text1"/>
                <w:sz w:val="25"/>
                <w:szCs w:val="25"/>
                <w:lang w:val="uk-UA"/>
              </w:rPr>
              <w:t>6,006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Забезпечення державних соціальних гарантій</w:t>
            </w:r>
          </w:p>
        </w:tc>
      </w:tr>
      <w:tr w:rsidR="0062747B" w:rsidRPr="00000C91" w:rsidTr="007A5C8C">
        <w:trPr>
          <w:trHeight w:val="455"/>
        </w:trPr>
        <w:tc>
          <w:tcPr>
            <w:tcW w:w="15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3. Медичне обслуговування</w:t>
            </w:r>
          </w:p>
        </w:tc>
      </w:tr>
      <w:tr w:rsidR="0062747B" w:rsidRPr="006400EF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3.1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Надання пільг на безоплатне </w:t>
            </w:r>
            <w:r>
              <w:rPr>
                <w:sz w:val="25"/>
                <w:szCs w:val="25"/>
                <w:lang w:val="uk-UA"/>
              </w:rPr>
              <w:lastRenderedPageBreak/>
              <w:t xml:space="preserve">зубопротезування </w:t>
            </w:r>
            <w:r w:rsidRPr="00000C91">
              <w:rPr>
                <w:sz w:val="25"/>
                <w:szCs w:val="25"/>
                <w:lang w:val="uk-UA"/>
              </w:rPr>
              <w:t>громадян, які постраждали внаслідок Чорнобильської катастрофи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УСЗН,</w:t>
            </w:r>
          </w:p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 xml:space="preserve">КНП </w:t>
            </w:r>
            <w:r w:rsidRPr="00E1667B">
              <w:rPr>
                <w:color w:val="000000" w:themeColor="text1"/>
                <w:sz w:val="25"/>
                <w:szCs w:val="25"/>
                <w:lang w:val="uk-UA"/>
              </w:rPr>
              <w:lastRenderedPageBreak/>
              <w:t>«Лисичанська багатопрофільна лікарня»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lastRenderedPageBreak/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290,754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308,780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327,925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348,257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349,319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Забезпечення ефективною </w:t>
            </w:r>
            <w:r>
              <w:rPr>
                <w:sz w:val="25"/>
                <w:szCs w:val="25"/>
                <w:lang w:val="uk-UA"/>
              </w:rPr>
              <w:lastRenderedPageBreak/>
              <w:t xml:space="preserve">медичною реабілітацією </w:t>
            </w:r>
            <w:r w:rsidRPr="00000C91">
              <w:rPr>
                <w:sz w:val="25"/>
                <w:szCs w:val="25"/>
                <w:lang w:val="uk-UA"/>
              </w:rPr>
              <w:t>громадян, які постраждали внаслідок аварії на ЧАЕС</w:t>
            </w:r>
          </w:p>
        </w:tc>
      </w:tr>
      <w:tr w:rsidR="0062747B" w:rsidRPr="0084573A" w:rsidTr="007A5C8C">
        <w:trPr>
          <w:trHeight w:val="3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FF0000"/>
                <w:sz w:val="25"/>
                <w:szCs w:val="25"/>
                <w:lang w:val="uk-UA"/>
              </w:rPr>
            </w:pPr>
            <w:r w:rsidRPr="00000C91">
              <w:rPr>
                <w:color w:val="FF0000"/>
                <w:sz w:val="25"/>
                <w:szCs w:val="25"/>
                <w:lang w:val="uk-UA"/>
              </w:rPr>
              <w:lastRenderedPageBreak/>
              <w:t>3.2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747B" w:rsidRPr="009F5BB0" w:rsidRDefault="0062747B" w:rsidP="007A5C8C">
            <w:pPr>
              <w:tabs>
                <w:tab w:val="left" w:pos="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пільг на безоплатне придбання ліків за рецептами лікарів</w:t>
            </w:r>
            <w:r w:rsidRPr="00000C91">
              <w:rPr>
                <w:sz w:val="25"/>
                <w:szCs w:val="25"/>
                <w:lang w:val="uk-UA"/>
              </w:rPr>
              <w:t xml:space="preserve"> громадян, які постраждали внаслідок Чорнобильської катастрофи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ind w:left="34" w:hanging="141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УСЗН,</w:t>
            </w:r>
          </w:p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 xml:space="preserve">КНП «ЦПМСД </w:t>
            </w:r>
          </w:p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№ 1»,</w:t>
            </w:r>
          </w:p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 xml:space="preserve">КНП «ЦПМСД </w:t>
            </w:r>
          </w:p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№ 2»</w:t>
            </w:r>
            <w:r>
              <w:rPr>
                <w:color w:val="000000" w:themeColor="text1"/>
                <w:sz w:val="25"/>
                <w:szCs w:val="25"/>
                <w:lang w:val="uk-UA"/>
              </w:rPr>
              <w:t>,</w:t>
            </w:r>
          </w:p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КНП «Лисичанська багатопрофільна лікарня»</w:t>
            </w:r>
          </w:p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74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</w:p>
          <w:p w:rsidR="006274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</w:p>
          <w:p w:rsidR="006274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Обласний бюджет</w:t>
            </w:r>
          </w:p>
          <w:p w:rsidR="006274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</w:p>
          <w:p w:rsidR="0062747B" w:rsidRPr="00E1667B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ind w:hanging="104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24</w:t>
            </w:r>
            <w:r>
              <w:rPr>
                <w:color w:val="000000" w:themeColor="text1"/>
                <w:sz w:val="25"/>
                <w:szCs w:val="25"/>
                <w:lang w:val="uk-UA"/>
              </w:rPr>
              <w:t>32,738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ind w:hanging="104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2433,800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ind w:hanging="104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2434,862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ind w:hanging="104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2435,924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ind w:hanging="104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2436,986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Покращення стану здоров’я </w:t>
            </w:r>
            <w:r w:rsidRPr="00000C91">
              <w:rPr>
                <w:sz w:val="25"/>
                <w:szCs w:val="25"/>
                <w:lang w:val="uk-UA"/>
              </w:rPr>
              <w:t>громадян, які постраждали внаслідок аварії на ЧАЕС</w:t>
            </w:r>
          </w:p>
        </w:tc>
      </w:tr>
      <w:tr w:rsidR="0062747B" w:rsidRPr="00000C91" w:rsidTr="007A5C8C">
        <w:trPr>
          <w:trHeight w:val="424"/>
        </w:trPr>
        <w:tc>
          <w:tcPr>
            <w:tcW w:w="15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b/>
                <w:color w:val="000000" w:themeColor="text1"/>
                <w:sz w:val="25"/>
                <w:szCs w:val="25"/>
                <w:lang w:val="uk-UA"/>
              </w:rPr>
              <w:t>4. Організація та проведення культурно-мистецьких заходів</w:t>
            </w:r>
          </w:p>
        </w:tc>
      </w:tr>
      <w:tr w:rsidR="0062747B" w:rsidRPr="00563A15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4.1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Утримання в належному стані пам’ятного знаку «Землякам – чорнобильцям» та прилеглої до нього території</w:t>
            </w:r>
            <w:r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1667B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УЖКГ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color w:val="000000" w:themeColor="text1"/>
                <w:sz w:val="25"/>
                <w:szCs w:val="25"/>
                <w:lang w:val="uk-UA"/>
              </w:rPr>
              <w:t>в</w:t>
            </w: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ласні кошти комунальних підприємств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A61139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FF0000"/>
                <w:sz w:val="25"/>
                <w:szCs w:val="25"/>
                <w:lang w:val="uk-UA"/>
              </w:rPr>
            </w:pPr>
            <w:r>
              <w:rPr>
                <w:color w:val="FF0000"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E166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000000" w:themeColor="text1"/>
                <w:sz w:val="25"/>
                <w:szCs w:val="25"/>
                <w:lang w:val="uk-UA"/>
              </w:rPr>
            </w:pPr>
            <w:r w:rsidRPr="00E1667B">
              <w:rPr>
                <w:color w:val="000000" w:themeColor="text1"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Вшанування пам'яті загиблих та померлих ліквідаторів наслідків аварії на ЧАЕС, збереження пам’ятника для нащадків</w:t>
            </w:r>
          </w:p>
        </w:tc>
      </w:tr>
      <w:tr w:rsidR="0062747B" w:rsidRPr="008933E9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4.</w:t>
            </w:r>
            <w:r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Організація та проведення загальноміських урочисто-траурних заходів, присвячених річниці аварії на Чорнобильській АЕС та Дню вшанування ліквідаторів наслідків аварії на Чорнобильській АЕС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Відділ з питань внутрішньої політики та організаційної роботи, відділ культури, управління освіти, громадська організація «Ветерани Чорнобиля 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м</w:t>
            </w:r>
            <w:r>
              <w:rPr>
                <w:sz w:val="25"/>
                <w:szCs w:val="25"/>
                <w:lang w:val="uk-UA"/>
              </w:rPr>
              <w:t>.</w:t>
            </w:r>
            <w:r w:rsidRPr="00000C91">
              <w:rPr>
                <w:sz w:val="25"/>
                <w:szCs w:val="25"/>
                <w:lang w:val="uk-UA"/>
              </w:rPr>
              <w:t xml:space="preserve"> Лисичанська»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За рахунок коштів, передбачених Програмою із підготовки та проведення загальноміських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Вш</w:t>
            </w:r>
            <w:r w:rsidRPr="00000C91">
              <w:rPr>
                <w:sz w:val="25"/>
                <w:szCs w:val="25"/>
                <w:lang w:val="uk-UA"/>
              </w:rPr>
              <w:t>анування</w:t>
            </w:r>
            <w:r>
              <w:rPr>
                <w:sz w:val="25"/>
                <w:szCs w:val="25"/>
                <w:lang w:val="uk-UA"/>
              </w:rPr>
              <w:t xml:space="preserve"> подвигу л</w:t>
            </w:r>
            <w:r w:rsidRPr="00000C91">
              <w:rPr>
                <w:sz w:val="25"/>
                <w:szCs w:val="25"/>
                <w:lang w:val="uk-UA"/>
              </w:rPr>
              <w:t>іквідаторів наслідків аварії на ЧАЕС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4.</w:t>
            </w:r>
            <w:r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Проведення вечорів-зустрічей учнів та молоді з ліквідаторами наслідків аварії на Чорнобильській АЕС, візитів пошани «Герої нашого часу»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Управління освіти, відділ культури, відділ молоді та спорту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Виховання почуття патріотизму на прикладі героїзму ліквідаторів, сприяння духовному розвитку молоді</w:t>
            </w:r>
          </w:p>
        </w:tc>
      </w:tr>
      <w:tr w:rsidR="0062747B" w:rsidRPr="00000C91" w:rsidTr="007A5C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4.</w:t>
            </w:r>
            <w:r>
              <w:rPr>
                <w:sz w:val="25"/>
                <w:szCs w:val="25"/>
                <w:lang w:val="uk-UA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Організація та проведення в закладах освіти, мистецьких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школах конкурсів малюнків, виставок під загальною назвою «Дзвони Чорнобиля», тематичних класних годин та бесід «Немирний атом»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Управління освіти, </w:t>
            </w:r>
          </w:p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відділ культури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Виховання почуття патріотизму на прикладі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героїзму ліквідаторів, сприяння духовному розвитку молоді</w:t>
            </w:r>
          </w:p>
        </w:tc>
      </w:tr>
      <w:tr w:rsidR="0062747B" w:rsidRPr="00563A15" w:rsidTr="007A5C8C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4.</w:t>
            </w:r>
            <w:r>
              <w:rPr>
                <w:sz w:val="25"/>
                <w:szCs w:val="25"/>
                <w:lang w:val="uk-UA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Організація та проведення у закладах середньої освіти, фахових </w:t>
            </w:r>
            <w:proofErr w:type="spellStart"/>
            <w:r w:rsidRPr="00000C91">
              <w:rPr>
                <w:sz w:val="25"/>
                <w:szCs w:val="25"/>
                <w:lang w:val="uk-UA"/>
              </w:rPr>
              <w:t>передвищих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закладах освіти </w:t>
            </w:r>
            <w:r w:rsidRPr="00000C91">
              <w:rPr>
                <w:sz w:val="25"/>
                <w:szCs w:val="25"/>
                <w:lang w:val="uk-UA"/>
              </w:rPr>
              <w:t xml:space="preserve">уроків пам`яті, класних (виховних) годин, </w:t>
            </w:r>
            <w:proofErr w:type="spellStart"/>
            <w:r w:rsidRPr="00000C91">
              <w:rPr>
                <w:sz w:val="25"/>
                <w:szCs w:val="25"/>
                <w:lang w:val="uk-UA"/>
              </w:rPr>
              <w:t>годин</w:t>
            </w:r>
            <w:proofErr w:type="spellEnd"/>
            <w:r w:rsidRPr="00000C91">
              <w:rPr>
                <w:sz w:val="25"/>
                <w:szCs w:val="25"/>
                <w:lang w:val="uk-UA"/>
              </w:rPr>
              <w:t xml:space="preserve"> спілкування за участю учасників ліквідації наслідків аварії на Чорнобильській АЕС, тематичних виставок, засідань «круглого столу», </w:t>
            </w:r>
            <w:r w:rsidRPr="00000C91">
              <w:rPr>
                <w:sz w:val="25"/>
                <w:szCs w:val="25"/>
                <w:lang w:val="uk-UA"/>
              </w:rPr>
              <w:lastRenderedPageBreak/>
              <w:t>конференцій на тему «Пам`ять про Чорнобильську трагедію»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suppressAutoHyphens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84573A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84573A">
              <w:rPr>
                <w:sz w:val="25"/>
                <w:szCs w:val="25"/>
                <w:lang w:val="uk-UA"/>
              </w:rPr>
              <w:t xml:space="preserve">Управління освіти, адміністрація </w:t>
            </w:r>
            <w:r w:rsidRPr="0084573A">
              <w:rPr>
                <w:color w:val="000000" w:themeColor="text1"/>
                <w:sz w:val="25"/>
                <w:szCs w:val="25"/>
                <w:lang w:val="uk-UA"/>
              </w:rPr>
              <w:t xml:space="preserve">фахових </w:t>
            </w:r>
            <w:proofErr w:type="spellStart"/>
            <w:r w:rsidRPr="0084573A">
              <w:rPr>
                <w:color w:val="000000" w:themeColor="text1"/>
                <w:sz w:val="25"/>
                <w:szCs w:val="25"/>
                <w:lang w:val="uk-UA"/>
              </w:rPr>
              <w:t>передвищих</w:t>
            </w:r>
            <w:proofErr w:type="spellEnd"/>
            <w:r w:rsidRPr="0084573A">
              <w:rPr>
                <w:color w:val="000000" w:themeColor="text1"/>
                <w:sz w:val="25"/>
                <w:szCs w:val="25"/>
                <w:lang w:val="uk-UA"/>
              </w:rPr>
              <w:t xml:space="preserve"> закладів</w:t>
            </w:r>
            <w:r>
              <w:rPr>
                <w:color w:val="000000" w:themeColor="text1"/>
                <w:sz w:val="25"/>
                <w:szCs w:val="25"/>
                <w:lang w:val="uk-UA"/>
              </w:rPr>
              <w:t xml:space="preserve"> освіти</w:t>
            </w:r>
            <w:r w:rsidRPr="0084573A">
              <w:rPr>
                <w:color w:val="000000" w:themeColor="text1"/>
                <w:sz w:val="25"/>
                <w:szCs w:val="25"/>
                <w:lang w:val="uk-UA"/>
              </w:rPr>
              <w:t>, професійних ліцеїв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00C9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47B" w:rsidRPr="00000C91" w:rsidRDefault="0062747B" w:rsidP="007A5C8C">
            <w:pPr>
              <w:tabs>
                <w:tab w:val="left" w:pos="1486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Формування патріотичних почуттів серед дітей та молоді, підвищення рівня обізнаності щодо подій і наслідків аварії на ЧАЕС</w:t>
            </w:r>
          </w:p>
        </w:tc>
      </w:tr>
      <w:tr w:rsidR="0062747B" w:rsidRPr="00886B3A" w:rsidTr="007A5C8C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lastRenderedPageBreak/>
              <w:t>4.</w:t>
            </w:r>
            <w:r>
              <w:rPr>
                <w:sz w:val="25"/>
                <w:szCs w:val="25"/>
                <w:lang w:val="uk-UA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Проведення заходів присвячених річниці аварії на Чорнобильській АЕС та Дню вшанування ліквідаторів наслідків аварії на Чорнобильській АЕС для осіб, які перебувають на обслуговуванні в Лисичанському територіальному центрі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suppressAutoHyphens/>
              <w:snapToGrid w:val="0"/>
              <w:spacing w:line="276" w:lineRule="auto"/>
              <w:ind w:hanging="107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2022-2026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 xml:space="preserve">Лисичанський територіальний центр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Позабюджетні кошти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0,3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0,3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0,3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0,3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747B" w:rsidRPr="00000C91" w:rsidRDefault="0062747B" w:rsidP="007A5C8C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00C91">
              <w:rPr>
                <w:sz w:val="25"/>
                <w:szCs w:val="25"/>
                <w:lang w:val="uk-UA"/>
              </w:rPr>
              <w:t>0,3</w:t>
            </w:r>
            <w:r>
              <w:rPr>
                <w:sz w:val="25"/>
                <w:szCs w:val="25"/>
                <w:lang w:val="uk-UA"/>
              </w:rPr>
              <w:t>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47B" w:rsidRPr="00000C91" w:rsidRDefault="0062747B" w:rsidP="007A5C8C">
            <w:pPr>
              <w:tabs>
                <w:tab w:val="left" w:pos="1486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Вшанування ліквідаторів наслідків аварії на ЧАЕС </w:t>
            </w:r>
          </w:p>
        </w:tc>
      </w:tr>
    </w:tbl>
    <w:p w:rsidR="0062747B" w:rsidRDefault="0062747B" w:rsidP="0062747B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62747B" w:rsidRDefault="0062747B" w:rsidP="0062747B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62747B" w:rsidRDefault="0062747B" w:rsidP="0062747B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62747B" w:rsidRDefault="0062747B" w:rsidP="0062747B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F755B0" w:rsidRDefault="0062747B" w:rsidP="0062747B">
      <w:pPr>
        <w:pStyle w:val="a5"/>
        <w:tabs>
          <w:tab w:val="left" w:pos="788"/>
        </w:tabs>
        <w:ind w:left="720" w:right="99"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____________________________</w:t>
      </w: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62747B">
      <w:pPr>
        <w:ind w:left="-709" w:firstLine="709"/>
        <w:rPr>
          <w:b/>
          <w:sz w:val="28"/>
          <w:szCs w:val="28"/>
          <w:lang w:val="uk-UA"/>
        </w:rPr>
      </w:pPr>
    </w:p>
    <w:sectPr w:rsidR="00FE0154" w:rsidSect="0062747B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704CC"/>
    <w:rsid w:val="000A3D48"/>
    <w:rsid w:val="000B0CBC"/>
    <w:rsid w:val="000F548F"/>
    <w:rsid w:val="0014374D"/>
    <w:rsid w:val="001A49B4"/>
    <w:rsid w:val="001E2FEB"/>
    <w:rsid w:val="00201E5D"/>
    <w:rsid w:val="00243FCF"/>
    <w:rsid w:val="002F36A1"/>
    <w:rsid w:val="0033548B"/>
    <w:rsid w:val="00354F23"/>
    <w:rsid w:val="00403CD4"/>
    <w:rsid w:val="00410FA7"/>
    <w:rsid w:val="004315E5"/>
    <w:rsid w:val="004468DE"/>
    <w:rsid w:val="004B49DD"/>
    <w:rsid w:val="00563A15"/>
    <w:rsid w:val="005D1345"/>
    <w:rsid w:val="00614B02"/>
    <w:rsid w:val="0062747B"/>
    <w:rsid w:val="0064250B"/>
    <w:rsid w:val="00671B88"/>
    <w:rsid w:val="00697189"/>
    <w:rsid w:val="00705A1A"/>
    <w:rsid w:val="00766251"/>
    <w:rsid w:val="00792EB1"/>
    <w:rsid w:val="007D0C0C"/>
    <w:rsid w:val="008513A3"/>
    <w:rsid w:val="00851E2F"/>
    <w:rsid w:val="008805C0"/>
    <w:rsid w:val="00880BE6"/>
    <w:rsid w:val="008973EF"/>
    <w:rsid w:val="008A7633"/>
    <w:rsid w:val="008E59E6"/>
    <w:rsid w:val="00971E68"/>
    <w:rsid w:val="009F1A76"/>
    <w:rsid w:val="009F6FE9"/>
    <w:rsid w:val="00A268B9"/>
    <w:rsid w:val="00A43439"/>
    <w:rsid w:val="00A55E38"/>
    <w:rsid w:val="00A60888"/>
    <w:rsid w:val="00B52D48"/>
    <w:rsid w:val="00B611FC"/>
    <w:rsid w:val="00BB2448"/>
    <w:rsid w:val="00BB60C6"/>
    <w:rsid w:val="00BC1896"/>
    <w:rsid w:val="00BD02BA"/>
    <w:rsid w:val="00C322CB"/>
    <w:rsid w:val="00C339D1"/>
    <w:rsid w:val="00CB1E6D"/>
    <w:rsid w:val="00D86FAB"/>
    <w:rsid w:val="00E2051B"/>
    <w:rsid w:val="00E4685D"/>
    <w:rsid w:val="00EB6DA1"/>
    <w:rsid w:val="00F44AB5"/>
    <w:rsid w:val="00F755B0"/>
    <w:rsid w:val="00F85EBE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1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274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8">
    <w:name w:val="No Spacing"/>
    <w:qFormat/>
    <w:rsid w:val="0062747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1">
    <w:name w:val="Основной текст 31"/>
    <w:basedOn w:val="a"/>
    <w:rsid w:val="0062747B"/>
    <w:pPr>
      <w:suppressAutoHyphens/>
      <w:jc w:val="both"/>
    </w:pPr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1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274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8">
    <w:name w:val="No Spacing"/>
    <w:qFormat/>
    <w:rsid w:val="0062747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1">
    <w:name w:val="Основной текст 31"/>
    <w:basedOn w:val="a"/>
    <w:rsid w:val="0062747B"/>
    <w:pPr>
      <w:suppressAutoHyphens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3CC1-C66E-4A7F-B57F-C94B2EE2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32</cp:revision>
  <cp:lastPrinted>2021-10-12T05:07:00Z</cp:lastPrinted>
  <dcterms:created xsi:type="dcterms:W3CDTF">2021-01-22T07:02:00Z</dcterms:created>
  <dcterms:modified xsi:type="dcterms:W3CDTF">2021-10-13T11:33:00Z</dcterms:modified>
</cp:coreProperties>
</file>