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204703" w:rsidRDefault="00204703" w:rsidP="00A54BD0">
      <w:pPr>
        <w:pStyle w:val="af2"/>
        <w:rPr>
          <w:rFonts w:ascii="Times New Roman" w:hAnsi="Times New Roman"/>
          <w:sz w:val="28"/>
          <w:szCs w:val="28"/>
        </w:rPr>
      </w:pPr>
      <w:r w:rsidRPr="00204703">
        <w:rPr>
          <w:rFonts w:ascii="Times New Roman" w:hAnsi="Times New Roman"/>
          <w:sz w:val="28"/>
          <w:szCs w:val="28"/>
        </w:rPr>
        <w:t>09.12.2021</w:t>
      </w:r>
      <w:r w:rsidRPr="00204703">
        <w:rPr>
          <w:rFonts w:ascii="Times New Roman" w:hAnsi="Times New Roman"/>
          <w:sz w:val="28"/>
          <w:szCs w:val="28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2D3" w:rsidRPr="00204703">
        <w:rPr>
          <w:rFonts w:ascii="Times New Roman" w:hAnsi="Times New Roman"/>
          <w:sz w:val="28"/>
          <w:szCs w:val="28"/>
        </w:rPr>
        <w:t>1454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8E6D5A">
        <w:rPr>
          <w:rFonts w:ascii="Times New Roman" w:hAnsi="Times New Roman"/>
          <w:b/>
          <w:sz w:val="28"/>
          <w:szCs w:val="28"/>
          <w:lang w:val="uk-UA"/>
        </w:rPr>
        <w:t>від 26</w:t>
      </w:r>
      <w:r w:rsidR="00344CCC">
        <w:rPr>
          <w:rFonts w:ascii="Times New Roman" w:hAnsi="Times New Roman"/>
          <w:b/>
          <w:sz w:val="28"/>
          <w:szCs w:val="28"/>
          <w:lang w:val="uk-UA"/>
        </w:rPr>
        <w:t>.</w:t>
      </w:r>
      <w:r w:rsidR="007C4291">
        <w:rPr>
          <w:rFonts w:ascii="Times New Roman" w:hAnsi="Times New Roman"/>
          <w:b/>
          <w:sz w:val="28"/>
          <w:szCs w:val="28"/>
          <w:lang w:val="uk-UA"/>
        </w:rPr>
        <w:t>1</w:t>
      </w:r>
      <w:r w:rsidR="008E6D5A">
        <w:rPr>
          <w:rFonts w:ascii="Times New Roman" w:hAnsi="Times New Roman"/>
          <w:b/>
          <w:sz w:val="28"/>
          <w:szCs w:val="28"/>
          <w:lang w:val="uk-UA"/>
        </w:rPr>
        <w:t>1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8E6D5A">
        <w:rPr>
          <w:rFonts w:ascii="Times New Roman" w:hAnsi="Times New Roman"/>
          <w:b/>
          <w:sz w:val="28"/>
          <w:szCs w:val="28"/>
          <w:lang w:val="uk-UA"/>
        </w:rPr>
        <w:t>13</w:t>
      </w:r>
      <w:r w:rsidR="007C4291">
        <w:rPr>
          <w:rFonts w:ascii="Times New Roman" w:hAnsi="Times New Roman"/>
          <w:b/>
          <w:sz w:val="28"/>
          <w:szCs w:val="28"/>
          <w:lang w:val="uk-UA"/>
        </w:rPr>
        <w:t>7</w:t>
      </w:r>
      <w:r w:rsidR="008E6D5A">
        <w:rPr>
          <w:rFonts w:ascii="Times New Roman" w:hAnsi="Times New Roman"/>
          <w:b/>
          <w:sz w:val="28"/>
          <w:szCs w:val="28"/>
          <w:lang w:val="uk-UA"/>
        </w:rPr>
        <w:t>1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</w:t>
      </w:r>
      <w:r w:rsidR="00971A6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</w:t>
      </w:r>
      <w:r w:rsidR="00685B64">
        <w:rPr>
          <w:rFonts w:ascii="Times New Roman" w:hAnsi="Times New Roman"/>
          <w:sz w:val="28"/>
          <w:szCs w:val="28"/>
          <w:lang w:val="uk-UA"/>
        </w:rPr>
        <w:t xml:space="preserve">Лисичанської міської територіальної громади </w:t>
      </w:r>
      <w:r w:rsidRPr="00C523E7">
        <w:rPr>
          <w:rFonts w:ascii="Times New Roman" w:hAnsi="Times New Roman"/>
          <w:sz w:val="28"/>
          <w:szCs w:val="28"/>
          <w:lang w:val="uk-UA"/>
        </w:rPr>
        <w:t>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="002B2315">
        <w:rPr>
          <w:rFonts w:ascii="Times New Roman" w:hAnsi="Times New Roman"/>
          <w:sz w:val="28"/>
          <w:szCs w:val="28"/>
          <w:lang w:val="uk-UA"/>
        </w:rPr>
        <w:t>2801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</w:t>
      </w:r>
      <w:r w:rsidR="00971A6E">
        <w:rPr>
          <w:rFonts w:ascii="Times New Roman" w:hAnsi="Times New Roman"/>
          <w:sz w:val="28"/>
          <w:szCs w:val="28"/>
          <w:lang w:val="uk-UA"/>
        </w:rPr>
        <w:t>унктом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971A6E">
        <w:rPr>
          <w:rFonts w:ascii="Times New Roman" w:hAnsi="Times New Roman"/>
          <w:sz w:val="28"/>
          <w:szCs w:val="28"/>
          <w:lang w:val="uk-UA"/>
        </w:rPr>
        <w:t xml:space="preserve">частини першої 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971A6E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>заступника керівника Лисичанської міської військово-цивільної адміністрації Євгена НАЮКА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5D08B1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315" w:rsidRDefault="002B2315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315" w:rsidRDefault="002B2315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23D" w:rsidRPr="00C523E7" w:rsidRDefault="005A223D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A6E" w:rsidRDefault="005A223D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971A6E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 </w:t>
      </w:r>
    </w:p>
    <w:p w:rsidR="00971A6E" w:rsidRDefault="00971A6E" w:rsidP="00971A6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A223D">
        <w:rPr>
          <w:rFonts w:ascii="Times New Roman" w:hAnsi="Times New Roman"/>
          <w:b/>
          <w:sz w:val="28"/>
          <w:szCs w:val="28"/>
          <w:lang w:val="uk-UA" w:eastAsia="uk-UA"/>
        </w:rPr>
        <w:tab/>
        <w:t>Олександр ЗАЇКА</w:t>
      </w:r>
    </w:p>
    <w:p w:rsidR="00A413EC" w:rsidRPr="00C523E7" w:rsidRDefault="00A413EC" w:rsidP="00971A6E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AB30DA" w:rsidRPr="00C66FCD" w:rsidRDefault="00B64A24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6FCD" w:rsidRPr="00C66FCD">
        <w:rPr>
          <w:rFonts w:ascii="Times New Roman" w:hAnsi="Times New Roman"/>
          <w:sz w:val="26"/>
          <w:szCs w:val="26"/>
          <w:lang w:val="uk-UA"/>
        </w:rPr>
        <w:t>09.12.</w:t>
      </w:r>
      <w:r w:rsidR="00C66FCD">
        <w:rPr>
          <w:rFonts w:ascii="Times New Roman" w:hAnsi="Times New Roman"/>
          <w:sz w:val="26"/>
          <w:szCs w:val="26"/>
          <w:lang w:val="en-US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66FCD" w:rsidRPr="00C66FCD">
        <w:rPr>
          <w:rFonts w:ascii="Times New Roman" w:hAnsi="Times New Roman"/>
          <w:sz w:val="26"/>
          <w:szCs w:val="26"/>
          <w:lang w:val="uk-UA"/>
        </w:rPr>
        <w:t xml:space="preserve"> 1454</w:t>
      </w:r>
    </w:p>
    <w:p w:rsidR="00FD2C7A" w:rsidRPr="00C523E7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E002D3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E002D3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2B2315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E002D3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DB7074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EA0DAD" w:rsidP="00EA0DAD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28 834 </w:t>
            </w:r>
            <w:r w:rsidRPr="00EA0DAD">
              <w:rPr>
                <w:rFonts w:ascii="Times New Roman" w:hAnsi="Times New Roman"/>
                <w:sz w:val="26"/>
                <w:szCs w:val="26"/>
                <w:lang w:val="uk-UA"/>
              </w:rPr>
              <w:t>660</w:t>
            </w:r>
          </w:p>
        </w:tc>
      </w:tr>
    </w:tbl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2B2315" w:rsidRDefault="002B2315" w:rsidP="00DA2D2A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A2D2A" w:rsidRPr="00DA2D2A" w:rsidRDefault="00DA2D2A" w:rsidP="00DA2D2A">
      <w:pPr>
        <w:pStyle w:val="af2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52BC2" w:rsidRPr="00DA2D2A" w:rsidRDefault="00B52BC2" w:rsidP="00DA2D2A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685B64">
        <w:rPr>
          <w:rFonts w:ascii="Times New Roman" w:hAnsi="Times New Roman"/>
          <w:sz w:val="26"/>
          <w:szCs w:val="26"/>
          <w:lang w:val="uk-UA"/>
        </w:rPr>
        <w:t>Лисичанської міської територіальної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C523E7" w:rsidRDefault="00A54BD0" w:rsidP="00E9686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950F20" w:rsidRPr="00C523E7" w:rsidRDefault="00950F2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Pr="00DA2D2A" w:rsidRDefault="00A54BD0" w:rsidP="00DA2D2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DA2D2A" w:rsidRDefault="00B52BC2" w:rsidP="00DA2D2A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5B64">
        <w:rPr>
          <w:rFonts w:ascii="Times New Roman" w:hAnsi="Times New Roman"/>
          <w:sz w:val="26"/>
          <w:szCs w:val="26"/>
          <w:lang w:val="uk-UA"/>
        </w:rPr>
        <w:t>Лисичанської міської територіальної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A2D2A" w:rsidRPr="00DA2D2A" w:rsidRDefault="00DA2D2A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02897" w:rsidRPr="00C523E7" w:rsidRDefault="00302897" w:rsidP="00971A6E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C523E7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31D40">
        <w:rPr>
          <w:rFonts w:ascii="Times New Roman" w:hAnsi="Times New Roman"/>
          <w:sz w:val="26"/>
          <w:szCs w:val="26"/>
          <w:lang w:val="uk-UA"/>
        </w:rPr>
        <w:t>Лисичанської міської т</w:t>
      </w:r>
      <w:r w:rsidR="00685B64">
        <w:rPr>
          <w:rFonts w:ascii="Times New Roman" w:hAnsi="Times New Roman"/>
          <w:sz w:val="26"/>
          <w:szCs w:val="26"/>
          <w:lang w:val="uk-UA"/>
        </w:rPr>
        <w:t>ериторіальної громади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C523E7" w:rsidRDefault="003F048C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DA2D2A" w:rsidRDefault="00302897" w:rsidP="00DA2D2A">
      <w:pPr>
        <w:pStyle w:val="af1"/>
        <w:ind w:left="7081"/>
        <w:jc w:val="both"/>
        <w:rPr>
          <w:sz w:val="26"/>
          <w:szCs w:val="26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C523E7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C523E7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A54BD0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5B64">
        <w:rPr>
          <w:rFonts w:ascii="Times New Roman" w:hAnsi="Times New Roman"/>
          <w:sz w:val="26"/>
          <w:szCs w:val="26"/>
          <w:lang w:val="uk-UA"/>
        </w:rPr>
        <w:t>Лисичанської міської територіальної громади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D4313E" w:rsidRPr="00C523E7" w:rsidRDefault="00D4313E" w:rsidP="00B52BC2">
      <w:pPr>
        <w:pStyle w:val="af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</w:tblGrid>
      <w:tr w:rsidR="00044230" w:rsidRPr="00C523E7" w:rsidTr="008911DC">
        <w:trPr>
          <w:trHeight w:val="9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8911DC">
        <w:trPr>
          <w:trHeight w:val="1089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AA6E62" w:rsidRDefault="00044230" w:rsidP="00A9502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044230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AA6E62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1 000,000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EB73CC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A9502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F328EF" w:rsidP="00A9502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15 817,668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8911DC">
        <w:trPr>
          <w:trHeight w:val="25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EB73CC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F328EF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9 102,303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EB73CC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«</w:t>
            </w:r>
            <w:r w:rsidR="00B52BC2"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одопостачання та водовідведення»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811,880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EB73CC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F328EF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5 5</w:t>
            </w:r>
            <w:r w:rsidR="00344C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7,281</w:t>
            </w:r>
          </w:p>
        </w:tc>
      </w:tr>
      <w:tr w:rsidR="00B52BC2" w:rsidRPr="00C523E7" w:rsidTr="008911DC">
        <w:trPr>
          <w:trHeight w:val="16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EB73CC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344CCC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328EF">
              <w:rPr>
                <w:rFonts w:ascii="Times New Roman" w:hAnsi="Times New Roman"/>
                <w:sz w:val="24"/>
                <w:szCs w:val="24"/>
                <w:lang w:val="uk-UA"/>
              </w:rPr>
              <w:t>1,244</w:t>
            </w:r>
          </w:p>
        </w:tc>
      </w:tr>
      <w:tr w:rsidR="00B52BC2" w:rsidRPr="00C523E7" w:rsidTr="008911DC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EB73CC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«</w:t>
            </w:r>
            <w:r w:rsidR="00B52BC2"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інших  енергонос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іїв та інших комунальних послуг»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B52BC2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AA6E62" w:rsidRDefault="00F328EF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284,960</w:t>
            </w:r>
          </w:p>
        </w:tc>
      </w:tr>
      <w:tr w:rsidR="004C00A9" w:rsidRPr="00C523E7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C5067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4C00A9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AA6E62" w:rsidRDefault="005A223D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2 494,409</w:t>
            </w:r>
          </w:p>
        </w:tc>
      </w:tr>
      <w:tr w:rsidR="00A51D6E" w:rsidRPr="00C523E7" w:rsidTr="008911DC">
        <w:trPr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A51D6E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433CCD" w:rsidP="00AA6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частини першо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мального відділення за адресою: </w:t>
            </w:r>
            <w:r w:rsidR="00A51D6E"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63523D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AA6E62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2 173,396</w:t>
            </w:r>
          </w:p>
        </w:tc>
      </w:tr>
      <w:tr w:rsidR="00FE3FE3" w:rsidRPr="00C523E7" w:rsidTr="008911DC"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FE3FE3" w:rsidP="00F268F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FE3FE3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AA6E62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185,680</w:t>
            </w:r>
          </w:p>
        </w:tc>
      </w:tr>
      <w:tr w:rsidR="009B7F44" w:rsidRPr="00C523E7" w:rsidTr="008911DC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9B7F44" w:rsidP="00BE63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D001A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</w:t>
            </w:r>
            <w:r w:rsidR="00D0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AA6E62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4 153,963</w:t>
            </w:r>
          </w:p>
        </w:tc>
      </w:tr>
      <w:tr w:rsidR="00F268FA" w:rsidRPr="00C523E7" w:rsidTr="008911DC">
        <w:trPr>
          <w:trHeight w:val="64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9310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Монтаж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(ремонт кисневої рампи) хірургічного</w:t>
            </w:r>
            <w:r w:rsidR="00F93102"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268FA" w:rsidP="00F268F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AA6E62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70,431</w:t>
            </w:r>
          </w:p>
        </w:tc>
      </w:tr>
    </w:tbl>
    <w:p w:rsidR="00F93102" w:rsidRDefault="00F93102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D001A7" w:rsidRDefault="008911DC" w:rsidP="008911DC">
      <w:pPr>
        <w:pStyle w:val="20"/>
        <w:shd w:val="clear" w:color="auto" w:fill="auto"/>
        <w:spacing w:before="0" w:after="0" w:line="240" w:lineRule="auto"/>
        <w:ind w:left="7080"/>
        <w:jc w:val="both"/>
        <w:rPr>
          <w:b/>
        </w:rPr>
      </w:pPr>
      <w:r w:rsidRPr="00C523E7">
        <w:rPr>
          <w:color w:val="808080" w:themeColor="background1" w:themeShade="80"/>
          <w:sz w:val="24"/>
        </w:rPr>
        <w:lastRenderedPageBreak/>
        <w:t>Продовження додатка</w:t>
      </w:r>
    </w:p>
    <w:p w:rsidR="008911DC" w:rsidRPr="008911DC" w:rsidRDefault="008911D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1"/>
        <w:gridCol w:w="5446"/>
        <w:gridCol w:w="1096"/>
        <w:gridCol w:w="2317"/>
        <w:gridCol w:w="1506"/>
      </w:tblGrid>
      <w:tr w:rsidR="00EA0DAD" w:rsidRPr="00AA6E62" w:rsidTr="00EA0DAD">
        <w:trPr>
          <w:trHeight w:val="18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A0DAD" w:rsidRPr="00AA6E62" w:rsidTr="00EA0DAD">
        <w:trPr>
          <w:trHeight w:val="118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183,600</w:t>
            </w:r>
          </w:p>
        </w:tc>
      </w:tr>
      <w:tr w:rsidR="00EA0DAD" w:rsidRPr="00AA6E62" w:rsidTr="00EA0DAD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Sera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534,900</w:t>
            </w:r>
          </w:p>
        </w:tc>
      </w:tr>
      <w:tr w:rsidR="00EA0DAD" w:rsidRPr="00AA6E62" w:rsidTr="00EA0DAD">
        <w:trPr>
          <w:trHeight w:val="69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термопринтером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230,500</w:t>
            </w:r>
          </w:p>
        </w:tc>
      </w:tr>
      <w:tr w:rsidR="00EA0DAD" w:rsidRPr="00AA6E62" w:rsidTr="00EA0DAD">
        <w:trPr>
          <w:trHeight w:val="111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терапевтичного корпусу за адресою: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пр. Перемоги, буд. 134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105,000</w:t>
            </w:r>
          </w:p>
        </w:tc>
      </w:tr>
      <w:tr w:rsidR="00EA0DAD" w:rsidRPr="00AA6E62" w:rsidTr="00EA0DAD">
        <w:trPr>
          <w:trHeight w:val="91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хірургічного корпусу за адресою: 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244,000</w:t>
            </w:r>
          </w:p>
        </w:tc>
      </w:tr>
      <w:tr w:rsidR="00EA0DAD" w:rsidRPr="00AA6E62" w:rsidTr="00EA0DAD">
        <w:trPr>
          <w:trHeight w:val="130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проектно-кошторисної документації «Монтаж (реконструкція)» системи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будівлі пологового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за адресою: 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вул. ім. В. Сосюри, буд. 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33,750</w:t>
            </w:r>
          </w:p>
        </w:tc>
      </w:tr>
      <w:tr w:rsidR="00EA0DAD" w:rsidRPr="00AA6E62" w:rsidTr="00EA0DAD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проектно-кошторисної документації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системи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 хірургічного корпусу КНП «Лисичанська багатопрофільна лікарня» з встановленням модульної кисневої станції потужністю 500 л/хв. за адресою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м. Лисичанськ, вул. ім. В. Сосюри, 424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150,000</w:t>
            </w:r>
          </w:p>
        </w:tc>
      </w:tr>
      <w:tr w:rsidR="00EA0DAD" w:rsidRPr="00AA6E62" w:rsidTr="00EA0DAD">
        <w:trPr>
          <w:trHeight w:val="190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проектно-кошторисної документації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системи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>кисн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терапевтичного корпусу   КНП «Лисичанська багатопрофільна лікарня» з встановленням модульної кисневої станції потужністю 500 л/хв. за адресою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AA6E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Лисичанськ,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 Перемоги, 134»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120,000</w:t>
            </w:r>
          </w:p>
        </w:tc>
      </w:tr>
      <w:tr w:rsidR="00EA0DAD" w:rsidRPr="00AA6E62" w:rsidTr="00EA0DAD">
        <w:trPr>
          <w:trHeight w:val="123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8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«Будівництво системи </w:t>
            </w:r>
            <w:proofErr w:type="spellStart"/>
            <w:r w:rsidRPr="00F328EF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F328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терапевтичного корпусу   КНП «Лисичанська багатопрофільна лікарня» з встановленням модульної кисневої станції потужністю 500 л/хв. за адресою: м. Лисичанськ, пр. Перемоги, 134»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28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308,237</w:t>
            </w:r>
          </w:p>
        </w:tc>
      </w:tr>
    </w:tbl>
    <w:p w:rsidR="00F328EF" w:rsidRDefault="00F328EF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A0DAD" w:rsidRDefault="00EA0DAD" w:rsidP="004A05D9">
      <w:pPr>
        <w:pStyle w:val="20"/>
        <w:shd w:val="clear" w:color="auto" w:fill="auto"/>
        <w:spacing w:before="0" w:after="0" w:line="240" w:lineRule="auto"/>
        <w:jc w:val="both"/>
        <w:rPr>
          <w:color w:val="808080" w:themeColor="background1" w:themeShade="80"/>
          <w:sz w:val="24"/>
        </w:rPr>
      </w:pPr>
    </w:p>
    <w:p w:rsidR="00EA0DAD" w:rsidRDefault="00EA0DAD" w:rsidP="00EA0DAD">
      <w:pPr>
        <w:pStyle w:val="20"/>
        <w:shd w:val="clear" w:color="auto" w:fill="auto"/>
        <w:spacing w:before="0" w:after="0" w:line="240" w:lineRule="auto"/>
        <w:ind w:left="7080"/>
        <w:jc w:val="both"/>
        <w:rPr>
          <w:color w:val="808080" w:themeColor="background1" w:themeShade="80"/>
          <w:sz w:val="24"/>
        </w:rPr>
      </w:pPr>
      <w:r w:rsidRPr="00C523E7">
        <w:rPr>
          <w:color w:val="808080" w:themeColor="background1" w:themeShade="80"/>
          <w:sz w:val="24"/>
        </w:rPr>
        <w:t>Продовження додатка</w:t>
      </w:r>
    </w:p>
    <w:p w:rsidR="00EA0DAD" w:rsidRPr="00EA0DAD" w:rsidRDefault="00EA0DAD" w:rsidP="00EA0DAD">
      <w:pPr>
        <w:pStyle w:val="20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1"/>
        <w:gridCol w:w="5446"/>
        <w:gridCol w:w="1096"/>
        <w:gridCol w:w="2317"/>
        <w:gridCol w:w="1506"/>
      </w:tblGrid>
      <w:tr w:rsidR="00EA0DAD" w:rsidRPr="00AA6E62" w:rsidTr="00EF33C6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EA0DAD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0D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EA0DAD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0D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EA0DAD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0D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EA0DAD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0D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A0DA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A0DAD" w:rsidTr="00EF33C6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AA6E62" w:rsidRDefault="00EA0DAD" w:rsidP="00EF33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28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системи </w:t>
            </w:r>
            <w:proofErr w:type="spellStart"/>
            <w:r w:rsidRPr="00F328EF">
              <w:rPr>
                <w:rFonts w:ascii="Times New Roman" w:hAnsi="Times New Roman"/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F328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 хірургічного корпусу КНП «Лисичанська багатопрофільна лікарня» з встановленням модульної кисневої станції потужністю 500 л/хв. за адресою: м. Лисичанськ, вул. ім. В. Сосюри, 424»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28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644,126</w:t>
            </w:r>
          </w:p>
        </w:tc>
      </w:tr>
      <w:tr w:rsidR="00EA0DAD" w:rsidRPr="00F328EF" w:rsidTr="00EF33C6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F328EF" w:rsidRDefault="00EA0DAD" w:rsidP="00EF33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F328EF" w:rsidRDefault="00EA0DAD" w:rsidP="00EF33C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200,000</w:t>
            </w:r>
          </w:p>
        </w:tc>
      </w:tr>
      <w:tr w:rsidR="00EA0DAD" w:rsidRPr="00F328EF" w:rsidTr="00EF33C6">
        <w:trPr>
          <w:trHeight w:val="111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F328EF" w:rsidRDefault="00EA0DAD" w:rsidP="00EF33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лікарських препаратів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F328EF" w:rsidRDefault="00EA0DAD" w:rsidP="00EF33C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70,000</w:t>
            </w:r>
          </w:p>
        </w:tc>
      </w:tr>
      <w:tr w:rsidR="00EA0DAD" w:rsidRPr="00F328EF" w:rsidTr="00EF33C6">
        <w:trPr>
          <w:trHeight w:val="19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Pr="00F328EF" w:rsidRDefault="00EA0DAD" w:rsidP="00EA0DA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дезінфікуючих засобів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AD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F33C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F328EF" w:rsidRDefault="00EA0DAD" w:rsidP="00EF33C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115,000</w:t>
            </w:r>
          </w:p>
        </w:tc>
      </w:tr>
      <w:tr w:rsidR="00EA0DAD" w:rsidRPr="00AA6E62" w:rsidTr="00EF33C6">
        <w:trPr>
          <w:trHeight w:val="70"/>
        </w:trPr>
        <w:tc>
          <w:tcPr>
            <w:tcW w:w="9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F33C6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AA6E6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DAD" w:rsidRPr="00AA6E62" w:rsidRDefault="00EA0DAD" w:rsidP="00EF33C6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28 834,660</w:t>
            </w:r>
          </w:p>
        </w:tc>
      </w:tr>
    </w:tbl>
    <w:p w:rsidR="00EA0DAD" w:rsidRDefault="00EA0DAD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A0DAD" w:rsidRDefault="00EA0DAD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A0DAD" w:rsidRDefault="00EA0DAD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A0DAD" w:rsidRDefault="00EA0DAD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4A05D9" w:rsidRPr="00C523E7" w:rsidRDefault="004A05D9" w:rsidP="004A05D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C523E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9C6095" wp14:editId="4132014E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7E683E0" id="Прямая соединительная линия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YkhnM+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="00344CCC">
        <w:rPr>
          <w:b/>
        </w:rPr>
        <w:t>Н</w:t>
      </w:r>
      <w:r w:rsidRPr="00C523E7">
        <w:rPr>
          <w:b/>
        </w:rPr>
        <w:t>ачальник відділ</w:t>
      </w:r>
      <w:r w:rsidR="00C04A7C">
        <w:rPr>
          <w:b/>
        </w:rPr>
        <w:t xml:space="preserve">у охорони здоров’я         </w:t>
      </w:r>
      <w:r w:rsidR="00C04A7C">
        <w:rPr>
          <w:b/>
        </w:rPr>
        <w:tab/>
        <w:t xml:space="preserve">   </w:t>
      </w:r>
      <w:r w:rsidR="00344CCC">
        <w:rPr>
          <w:b/>
        </w:rPr>
        <w:tab/>
        <w:t xml:space="preserve">      Ігор БОНДАРЕНКО</w:t>
      </w:r>
    </w:p>
    <w:p w:rsidR="004A05D9" w:rsidRPr="00C523E7" w:rsidRDefault="00C04A7C" w:rsidP="004A05D9">
      <w:pPr>
        <w:pStyle w:val="20"/>
        <w:shd w:val="clear" w:color="auto" w:fill="auto"/>
        <w:spacing w:before="0" w:after="0" w:line="240" w:lineRule="auto"/>
        <w:jc w:val="both"/>
        <w:rPr>
          <w:b/>
          <w:sz w:val="18"/>
          <w:szCs w:val="18"/>
        </w:rPr>
      </w:pPr>
      <w:r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08BFB" wp14:editId="57A6DB7F">
                <wp:simplePos x="0" y="0"/>
                <wp:positionH relativeFrom="column">
                  <wp:posOffset>3300095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830F9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.75pt" to="31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mC4wEAANoDAAAOAAAAZHJzL2Uyb0RvYy54bWysU82O0zAQviPxDpbvNGmRWI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" strokecolor="black [3040]"/>
            </w:pict>
          </mc:Fallback>
        </mc:AlternateContent>
      </w:r>
      <w:r w:rsidR="004A05D9" w:rsidRPr="00C523E7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AD5A3" wp14:editId="0D12ACDA">
                <wp:simplePos x="0" y="0"/>
                <wp:positionH relativeFrom="column">
                  <wp:posOffset>4119245</wp:posOffset>
                </wp:positionH>
                <wp:positionV relativeFrom="paragraph">
                  <wp:posOffset>9525</wp:posOffset>
                </wp:positionV>
                <wp:extent cx="21050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E622BB" id="Прямая соединительная линия 1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.75pt" to="49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" strokecolor="black [3040]"/>
            </w:pict>
          </mc:Fallback>
        </mc:AlternateContent>
      </w:r>
      <w:r w:rsidR="004A05D9" w:rsidRPr="00C523E7">
        <w:rPr>
          <w:sz w:val="18"/>
          <w:szCs w:val="18"/>
        </w:rPr>
        <w:t xml:space="preserve">(посада керівника структурного підрозділу, іншої посадової            </w:t>
      </w:r>
      <w:r>
        <w:rPr>
          <w:sz w:val="18"/>
          <w:szCs w:val="18"/>
        </w:rPr>
        <w:t xml:space="preserve">       </w:t>
      </w:r>
      <w:r w:rsidR="004A05D9" w:rsidRPr="00C523E7">
        <w:rPr>
          <w:sz w:val="18"/>
          <w:szCs w:val="18"/>
        </w:rPr>
        <w:t>(підпис)</w:t>
      </w:r>
      <w:r w:rsidR="004A05D9" w:rsidRPr="00C523E7">
        <w:rPr>
          <w:sz w:val="18"/>
          <w:szCs w:val="18"/>
        </w:rPr>
        <w:tab/>
        <w:t xml:space="preserve">             (власне ім’я та прізвище)</w:t>
      </w:r>
    </w:p>
    <w:p w:rsidR="004A05D9" w:rsidRPr="00C523E7" w:rsidRDefault="004A05D9" w:rsidP="004A05D9">
      <w:pPr>
        <w:rPr>
          <w:sz w:val="28"/>
          <w:szCs w:val="28"/>
          <w:lang w:val="uk-UA" w:eastAsia="uk-UA"/>
        </w:rPr>
      </w:pPr>
      <w:r w:rsidRPr="00C523E7">
        <w:rPr>
          <w:sz w:val="18"/>
          <w:szCs w:val="18"/>
          <w:lang w:val="uk-UA"/>
        </w:rPr>
        <w:t>особи, яка є головним розробником)</w:t>
      </w: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EA0DAD" w:rsidRDefault="00EA0DAD" w:rsidP="00191FAA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  <w:bookmarkStart w:id="0" w:name="_GoBack"/>
      <w:bookmarkEnd w:id="0"/>
    </w:p>
    <w:sectPr w:rsidR="00EA0DAD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4F" w:rsidRDefault="0060014F" w:rsidP="006F1556">
      <w:r>
        <w:separator/>
      </w:r>
    </w:p>
  </w:endnote>
  <w:endnote w:type="continuationSeparator" w:id="0">
    <w:p w:rsidR="0060014F" w:rsidRDefault="0060014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4F" w:rsidRDefault="0060014F" w:rsidP="006F1556">
      <w:r>
        <w:separator/>
      </w:r>
    </w:p>
  </w:footnote>
  <w:footnote w:type="continuationSeparator" w:id="0">
    <w:p w:rsidR="0060014F" w:rsidRDefault="0060014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CC" w:rsidRDefault="00EB73CC" w:rsidP="00A41DE7">
    <w:pPr>
      <w:pStyle w:val="ac"/>
    </w:pPr>
  </w:p>
  <w:p w:rsidR="00EB73CC" w:rsidRDefault="00EB73CC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641C"/>
    <w:rsid w:val="00057132"/>
    <w:rsid w:val="00060682"/>
    <w:rsid w:val="000775A5"/>
    <w:rsid w:val="00077994"/>
    <w:rsid w:val="0008289F"/>
    <w:rsid w:val="000844C0"/>
    <w:rsid w:val="0008677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11419B"/>
    <w:rsid w:val="00117210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760AF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1CF4"/>
    <w:rsid w:val="001F1E59"/>
    <w:rsid w:val="001F49E6"/>
    <w:rsid w:val="00201E26"/>
    <w:rsid w:val="00204703"/>
    <w:rsid w:val="00221EE6"/>
    <w:rsid w:val="002352C6"/>
    <w:rsid w:val="00245896"/>
    <w:rsid w:val="00245B05"/>
    <w:rsid w:val="0025574D"/>
    <w:rsid w:val="00256FB3"/>
    <w:rsid w:val="0026349C"/>
    <w:rsid w:val="002670E5"/>
    <w:rsid w:val="002708FB"/>
    <w:rsid w:val="0027536E"/>
    <w:rsid w:val="002774DA"/>
    <w:rsid w:val="00277893"/>
    <w:rsid w:val="00282981"/>
    <w:rsid w:val="00294037"/>
    <w:rsid w:val="00297609"/>
    <w:rsid w:val="002A480F"/>
    <w:rsid w:val="002A58A7"/>
    <w:rsid w:val="002A7C0A"/>
    <w:rsid w:val="002B2315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15A4"/>
    <w:rsid w:val="00302897"/>
    <w:rsid w:val="00307EAF"/>
    <w:rsid w:val="0031257A"/>
    <w:rsid w:val="003157D2"/>
    <w:rsid w:val="00324E28"/>
    <w:rsid w:val="003421AE"/>
    <w:rsid w:val="003445AF"/>
    <w:rsid w:val="00344CCC"/>
    <w:rsid w:val="00347472"/>
    <w:rsid w:val="00350C95"/>
    <w:rsid w:val="00351712"/>
    <w:rsid w:val="00355396"/>
    <w:rsid w:val="0036005E"/>
    <w:rsid w:val="00360945"/>
    <w:rsid w:val="00371C22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2DF3"/>
    <w:rsid w:val="004A4A0A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52748"/>
    <w:rsid w:val="0056140A"/>
    <w:rsid w:val="00562DD4"/>
    <w:rsid w:val="00583D56"/>
    <w:rsid w:val="005A223D"/>
    <w:rsid w:val="005A4F95"/>
    <w:rsid w:val="005A7025"/>
    <w:rsid w:val="005B4215"/>
    <w:rsid w:val="005B6FF0"/>
    <w:rsid w:val="005C6590"/>
    <w:rsid w:val="005C6DE5"/>
    <w:rsid w:val="005D08B1"/>
    <w:rsid w:val="005D5824"/>
    <w:rsid w:val="005D7D18"/>
    <w:rsid w:val="005E6130"/>
    <w:rsid w:val="0060014F"/>
    <w:rsid w:val="006034D0"/>
    <w:rsid w:val="0060594B"/>
    <w:rsid w:val="00620D9C"/>
    <w:rsid w:val="0063523D"/>
    <w:rsid w:val="00636622"/>
    <w:rsid w:val="00645527"/>
    <w:rsid w:val="00650DE9"/>
    <w:rsid w:val="00653416"/>
    <w:rsid w:val="0066052C"/>
    <w:rsid w:val="00663FEA"/>
    <w:rsid w:val="00667CE8"/>
    <w:rsid w:val="00672F45"/>
    <w:rsid w:val="00674CB0"/>
    <w:rsid w:val="006855C0"/>
    <w:rsid w:val="00685B64"/>
    <w:rsid w:val="006B4265"/>
    <w:rsid w:val="006C32BC"/>
    <w:rsid w:val="006E1F5E"/>
    <w:rsid w:val="006E7F90"/>
    <w:rsid w:val="006F1556"/>
    <w:rsid w:val="006F2500"/>
    <w:rsid w:val="006F37BD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08FF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4291"/>
    <w:rsid w:val="007C66A2"/>
    <w:rsid w:val="007D38A0"/>
    <w:rsid w:val="007E796D"/>
    <w:rsid w:val="007F1D17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11DC"/>
    <w:rsid w:val="00895687"/>
    <w:rsid w:val="008A2026"/>
    <w:rsid w:val="008C0234"/>
    <w:rsid w:val="008C0E6F"/>
    <w:rsid w:val="008C5AA2"/>
    <w:rsid w:val="008C750F"/>
    <w:rsid w:val="008D1E8D"/>
    <w:rsid w:val="008D73E2"/>
    <w:rsid w:val="008E0E04"/>
    <w:rsid w:val="008E67CF"/>
    <w:rsid w:val="008E6D5A"/>
    <w:rsid w:val="008E7190"/>
    <w:rsid w:val="008F7053"/>
    <w:rsid w:val="008F77E2"/>
    <w:rsid w:val="00904DBE"/>
    <w:rsid w:val="0091639E"/>
    <w:rsid w:val="00940FDF"/>
    <w:rsid w:val="00940FE6"/>
    <w:rsid w:val="00947125"/>
    <w:rsid w:val="00950F20"/>
    <w:rsid w:val="0095158C"/>
    <w:rsid w:val="00956474"/>
    <w:rsid w:val="00957D4B"/>
    <w:rsid w:val="0096097F"/>
    <w:rsid w:val="009635A0"/>
    <w:rsid w:val="0096518D"/>
    <w:rsid w:val="00971A6E"/>
    <w:rsid w:val="00971EE7"/>
    <w:rsid w:val="00977867"/>
    <w:rsid w:val="009853E0"/>
    <w:rsid w:val="0098778D"/>
    <w:rsid w:val="00992264"/>
    <w:rsid w:val="009930BA"/>
    <w:rsid w:val="009A2E83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76029"/>
    <w:rsid w:val="00A82D00"/>
    <w:rsid w:val="00A84103"/>
    <w:rsid w:val="00A903B0"/>
    <w:rsid w:val="00A91541"/>
    <w:rsid w:val="00A91D11"/>
    <w:rsid w:val="00A9502F"/>
    <w:rsid w:val="00A96C4F"/>
    <w:rsid w:val="00AA6E62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1C9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06B0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4A7C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66FCD"/>
    <w:rsid w:val="00C71633"/>
    <w:rsid w:val="00C72E0F"/>
    <w:rsid w:val="00C82260"/>
    <w:rsid w:val="00C8624A"/>
    <w:rsid w:val="00C86CA6"/>
    <w:rsid w:val="00C91A72"/>
    <w:rsid w:val="00C93C94"/>
    <w:rsid w:val="00CA0636"/>
    <w:rsid w:val="00CA6CBB"/>
    <w:rsid w:val="00CB280F"/>
    <w:rsid w:val="00CB747E"/>
    <w:rsid w:val="00CC301C"/>
    <w:rsid w:val="00CD457E"/>
    <w:rsid w:val="00CD5C73"/>
    <w:rsid w:val="00CD7BA2"/>
    <w:rsid w:val="00CE1ACF"/>
    <w:rsid w:val="00CE4FF0"/>
    <w:rsid w:val="00CE78B2"/>
    <w:rsid w:val="00CE7F9D"/>
    <w:rsid w:val="00CF09D4"/>
    <w:rsid w:val="00CF09DE"/>
    <w:rsid w:val="00CF375A"/>
    <w:rsid w:val="00CF6835"/>
    <w:rsid w:val="00D001A7"/>
    <w:rsid w:val="00D2080F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2D2A"/>
    <w:rsid w:val="00DA6EA9"/>
    <w:rsid w:val="00DB0E43"/>
    <w:rsid w:val="00DB7074"/>
    <w:rsid w:val="00DC01D2"/>
    <w:rsid w:val="00DC168B"/>
    <w:rsid w:val="00DD25B4"/>
    <w:rsid w:val="00DD350F"/>
    <w:rsid w:val="00DD4AD8"/>
    <w:rsid w:val="00DD4FC7"/>
    <w:rsid w:val="00DF4850"/>
    <w:rsid w:val="00E002D3"/>
    <w:rsid w:val="00E02958"/>
    <w:rsid w:val="00E04FF8"/>
    <w:rsid w:val="00E16823"/>
    <w:rsid w:val="00E20C69"/>
    <w:rsid w:val="00E247A5"/>
    <w:rsid w:val="00E25314"/>
    <w:rsid w:val="00E27E78"/>
    <w:rsid w:val="00E31D40"/>
    <w:rsid w:val="00E40876"/>
    <w:rsid w:val="00E418AF"/>
    <w:rsid w:val="00E44D72"/>
    <w:rsid w:val="00E45532"/>
    <w:rsid w:val="00E50B45"/>
    <w:rsid w:val="00E54AC8"/>
    <w:rsid w:val="00E56833"/>
    <w:rsid w:val="00E601B6"/>
    <w:rsid w:val="00E72D52"/>
    <w:rsid w:val="00E732EF"/>
    <w:rsid w:val="00E7646D"/>
    <w:rsid w:val="00E96861"/>
    <w:rsid w:val="00EA0DAD"/>
    <w:rsid w:val="00EB2A72"/>
    <w:rsid w:val="00EB73CC"/>
    <w:rsid w:val="00EC0E02"/>
    <w:rsid w:val="00EC7449"/>
    <w:rsid w:val="00EE2E9E"/>
    <w:rsid w:val="00EE7D2B"/>
    <w:rsid w:val="00F0457A"/>
    <w:rsid w:val="00F11A6A"/>
    <w:rsid w:val="00F1381B"/>
    <w:rsid w:val="00F1639B"/>
    <w:rsid w:val="00F16837"/>
    <w:rsid w:val="00F2216D"/>
    <w:rsid w:val="00F23419"/>
    <w:rsid w:val="00F241D5"/>
    <w:rsid w:val="00F268FA"/>
    <w:rsid w:val="00F313AD"/>
    <w:rsid w:val="00F328EF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A18DA"/>
    <w:rsid w:val="00FB0A1A"/>
    <w:rsid w:val="00FB2D99"/>
    <w:rsid w:val="00FC0B06"/>
    <w:rsid w:val="00FC2F40"/>
    <w:rsid w:val="00FD04F5"/>
    <w:rsid w:val="00FD2C7A"/>
    <w:rsid w:val="00FD422D"/>
    <w:rsid w:val="00FE1024"/>
    <w:rsid w:val="00FE1297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CA0C-103C-4E4C-A4BD-1EC79699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48</cp:revision>
  <cp:lastPrinted>2021-12-08T09:20:00Z</cp:lastPrinted>
  <dcterms:created xsi:type="dcterms:W3CDTF">2021-05-12T13:43:00Z</dcterms:created>
  <dcterms:modified xsi:type="dcterms:W3CDTF">2021-12-09T09:16:00Z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