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96" w:rsidRPr="008F4D73" w:rsidRDefault="00023D43" w:rsidP="003B1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4D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9372C9" w:rsidRPr="008F4D73">
        <w:rPr>
          <w:rFonts w:ascii="Times New Roman" w:hAnsi="Times New Roman" w:cs="Times New Roman"/>
          <w:b/>
          <w:sz w:val="28"/>
          <w:szCs w:val="28"/>
          <w:lang w:val="uk-UA"/>
        </w:rPr>
        <w:t>віт</w:t>
      </w:r>
      <w:r w:rsidRPr="008F4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</w:t>
      </w:r>
      <w:r w:rsidR="009372C9" w:rsidRPr="008F4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базове </w:t>
      </w:r>
      <w:r w:rsidRPr="008F4D73">
        <w:rPr>
          <w:rFonts w:ascii="Times New Roman" w:hAnsi="Times New Roman" w:cs="Times New Roman"/>
          <w:b/>
          <w:sz w:val="28"/>
          <w:szCs w:val="28"/>
          <w:lang w:val="uk-UA"/>
        </w:rPr>
        <w:t>відстеження результативності регуляторного акта</w:t>
      </w:r>
      <w:r w:rsidR="009372C9" w:rsidRPr="008F4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розпорядження керівника Лисичанської міської військово-цивільної адміністрації «Про внесення змін до рішення Лисичанської міської ради від 31.05.2018 № 46/694 «Про встановлення ставок та пільг із сплати земельного податку»</w:t>
      </w:r>
      <w:r w:rsidR="00A560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12.07.2021 №673</w:t>
      </w:r>
    </w:p>
    <w:p w:rsidR="009372C9" w:rsidRPr="008F4D73" w:rsidRDefault="009372C9" w:rsidP="003B1E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7218D" w:rsidRPr="008F4D73" w:rsidRDefault="00023D43" w:rsidP="003B1E9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Вид </w:t>
      </w:r>
      <w:r w:rsidR="00643B73" w:rsidRPr="008F4D73">
        <w:rPr>
          <w:rFonts w:ascii="Times New Roman" w:hAnsi="Times New Roman" w:cs="Times New Roman"/>
          <w:b/>
          <w:sz w:val="26"/>
          <w:szCs w:val="26"/>
          <w:lang w:val="uk-UA"/>
        </w:rPr>
        <w:t>та</w:t>
      </w: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назва регуляторного акта</w:t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bookmarkStart w:id="0" w:name="_GoBack"/>
      <w:bookmarkEnd w:id="0"/>
    </w:p>
    <w:p w:rsidR="0007218D" w:rsidRPr="008F4D73" w:rsidRDefault="0007218D" w:rsidP="003B1E9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23D43" w:rsidRPr="008F4D73" w:rsidRDefault="0007218D" w:rsidP="003B1E9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023D43" w:rsidRPr="008F4D73">
        <w:rPr>
          <w:rFonts w:ascii="Times New Roman" w:hAnsi="Times New Roman" w:cs="Times New Roman"/>
          <w:sz w:val="26"/>
          <w:szCs w:val="26"/>
          <w:lang w:val="uk-UA"/>
        </w:rPr>
        <w:t>озпорядження керівника Лисичанської міської військово-цивільної адміністрації «Про внесення змін до рішення Лисичанської міської ради від 31.05.2018 № 46/694 «Про встановлення ставок та пільг із сплати земельного податку»</w:t>
      </w:r>
      <w:r w:rsidR="004C0DBE" w:rsidRPr="008F4D7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43B73" w:rsidRPr="008F4D73" w:rsidRDefault="00643B73" w:rsidP="003B1E9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7218D" w:rsidRPr="008F4D73" w:rsidRDefault="00023D43" w:rsidP="003B1E9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7218D" w:rsidRPr="008F4D73">
        <w:rPr>
          <w:rFonts w:ascii="Times New Roman" w:hAnsi="Times New Roman" w:cs="Times New Roman"/>
          <w:b/>
          <w:sz w:val="26"/>
          <w:szCs w:val="26"/>
          <w:lang w:val="uk-UA"/>
        </w:rPr>
        <w:t>Назва виконавця заходів з в</w:t>
      </w: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>ідстеження</w:t>
      </w:r>
      <w:r w:rsidR="0007218D" w:rsidRPr="008F4D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результативності</w:t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7218D" w:rsidRPr="008F4D73" w:rsidRDefault="0007218D" w:rsidP="003B1E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43B73" w:rsidRPr="008F4D73" w:rsidRDefault="00023D43" w:rsidP="003B1E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Управління власності Лисичанської міської військово-цивільної адміністрації </w:t>
      </w:r>
      <w:proofErr w:type="spellStart"/>
      <w:r w:rsidRPr="008F4D73">
        <w:rPr>
          <w:rFonts w:ascii="Times New Roman" w:hAnsi="Times New Roman" w:cs="Times New Roman"/>
          <w:sz w:val="26"/>
          <w:szCs w:val="26"/>
          <w:lang w:val="uk-UA"/>
        </w:rPr>
        <w:t>Сєвєродонецького</w:t>
      </w:r>
      <w:proofErr w:type="spellEnd"/>
      <w:r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 району Луганської області</w:t>
      </w:r>
      <w:r w:rsidR="004C0DBE" w:rsidRPr="008F4D7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43B73" w:rsidRPr="008F4D73" w:rsidRDefault="00643B73" w:rsidP="003B1E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7218D" w:rsidRPr="008F4D73" w:rsidRDefault="00023D43" w:rsidP="003B1E9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>Цілі прийняття регуляторного акта</w:t>
      </w:r>
    </w:p>
    <w:p w:rsidR="00023D43" w:rsidRPr="008F4D73" w:rsidRDefault="00023D43" w:rsidP="003B1E9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023D43" w:rsidRPr="008F4D73" w:rsidRDefault="00023D43" w:rsidP="003B1E95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sz w:val="26"/>
          <w:szCs w:val="26"/>
          <w:lang w:val="uk-UA"/>
        </w:rPr>
        <w:t>встановлення ринково обґрунтованої ставки земельного податку</w:t>
      </w:r>
      <w:r w:rsidR="003F5951"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 за землі із цільовим використанням «Землі енергетики, код КВЦПЗ 14»</w:t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023D43" w:rsidRPr="008F4D73" w:rsidRDefault="00023D43" w:rsidP="003B1E95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8F4D73">
        <w:rPr>
          <w:rFonts w:ascii="Times New Roman" w:hAnsi="Times New Roman"/>
          <w:sz w:val="26"/>
          <w:szCs w:val="26"/>
          <w:lang w:val="uk-UA"/>
        </w:rPr>
        <w:t>- забезпечення соціально-економічного розвитку громади, подальшого регулювання земельних відносин, використання земельного ресурсу в інтересах територіальної громади;</w:t>
      </w:r>
    </w:p>
    <w:p w:rsidR="00643B73" w:rsidRPr="008F4D73" w:rsidRDefault="00023D43" w:rsidP="003B1E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07218D"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t>отримання фінансового ресурсу для вирішення соціально-економічних питань розвитку громади, підвищення соціальних стандартів</w:t>
      </w:r>
      <w:r w:rsidR="004C0DBE" w:rsidRPr="008F4D7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F5951" w:rsidRPr="008F4D73" w:rsidRDefault="003F5951" w:rsidP="003B1E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23D43" w:rsidRPr="008F4D73" w:rsidRDefault="00023D43" w:rsidP="003B1E95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Строк виконання заходів з відстеження </w:t>
      </w:r>
    </w:p>
    <w:p w:rsidR="003B1E95" w:rsidRPr="008F4D73" w:rsidRDefault="003B1E95" w:rsidP="003B1E9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43B73" w:rsidRPr="008F4D73" w:rsidRDefault="003B1E95" w:rsidP="003B1E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23D43"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="00DD5222">
        <w:rPr>
          <w:rFonts w:ascii="Times New Roman" w:hAnsi="Times New Roman" w:cs="Times New Roman"/>
          <w:sz w:val="26"/>
          <w:szCs w:val="26"/>
          <w:lang w:val="uk-UA"/>
        </w:rPr>
        <w:t>13</w:t>
      </w:r>
      <w:r w:rsidR="00643B73"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.12.2021 по </w:t>
      </w:r>
      <w:r w:rsidR="00DD5222">
        <w:rPr>
          <w:rFonts w:ascii="Times New Roman" w:hAnsi="Times New Roman" w:cs="Times New Roman"/>
          <w:sz w:val="26"/>
          <w:szCs w:val="26"/>
          <w:lang w:val="uk-UA"/>
        </w:rPr>
        <w:t>23</w:t>
      </w:r>
      <w:r w:rsidR="00643B73" w:rsidRPr="008F4D73">
        <w:rPr>
          <w:rFonts w:ascii="Times New Roman" w:hAnsi="Times New Roman" w:cs="Times New Roman"/>
          <w:sz w:val="26"/>
          <w:szCs w:val="26"/>
          <w:lang w:val="uk-UA"/>
        </w:rPr>
        <w:t>.12.2021</w:t>
      </w:r>
    </w:p>
    <w:p w:rsidR="003B1E95" w:rsidRPr="008F4D73" w:rsidRDefault="003B1E95" w:rsidP="003B1E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7218D" w:rsidRPr="008F4D73" w:rsidRDefault="00643B73" w:rsidP="003B1E9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>Тип відстеження</w:t>
      </w:r>
    </w:p>
    <w:p w:rsidR="003B1E95" w:rsidRPr="008F4D73" w:rsidRDefault="003B1E95" w:rsidP="003B1E95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43B73" w:rsidRPr="008F4D73" w:rsidRDefault="0007218D" w:rsidP="003B1E95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="00643B73" w:rsidRPr="008F4D73">
        <w:rPr>
          <w:rFonts w:ascii="Times New Roman" w:hAnsi="Times New Roman" w:cs="Times New Roman"/>
          <w:sz w:val="26"/>
          <w:szCs w:val="26"/>
          <w:lang w:val="uk-UA"/>
        </w:rPr>
        <w:t>азове відстеження</w:t>
      </w:r>
      <w:r w:rsidR="004C0DBE" w:rsidRPr="008F4D7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B1E95" w:rsidRPr="008F4D73" w:rsidRDefault="003B1E95" w:rsidP="003B1E95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43B73" w:rsidRPr="008F4D73" w:rsidRDefault="00643B73" w:rsidP="003B1E9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>Метод одержання результатів відстеження</w:t>
      </w:r>
    </w:p>
    <w:p w:rsidR="003B1E95" w:rsidRPr="008F4D73" w:rsidRDefault="003B1E95" w:rsidP="003B1E95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B1E95" w:rsidRPr="008F4D73" w:rsidRDefault="0007218D" w:rsidP="003B1E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643B73"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Для проведення базового відстеження було використано статистичний метод. </w:t>
      </w:r>
    </w:p>
    <w:p w:rsidR="005049C7" w:rsidRPr="008F4D73" w:rsidRDefault="005049C7" w:rsidP="003B1E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7218D" w:rsidRPr="008F4D73" w:rsidRDefault="0007218D" w:rsidP="003B1E95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>Дані та припущення, на основі яких відстежувалася результативність, а також способи одержання даних</w:t>
      </w:r>
    </w:p>
    <w:p w:rsidR="005049C7" w:rsidRPr="008F4D73" w:rsidRDefault="005049C7" w:rsidP="005049C7">
      <w:pPr>
        <w:pStyle w:val="a3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002F5" w:rsidRPr="008F4D73" w:rsidRDefault="0007218D" w:rsidP="003B1E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Розпорядження підготовлено у відповідності до вимог розділу </w:t>
      </w:r>
      <w:r w:rsidRPr="008F4D73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t xml:space="preserve"> Податкового кодексу України, Закону України «Про засади державної регуляторної по</w:t>
      </w:r>
      <w:r w:rsidR="00A002F5" w:rsidRPr="008F4D73">
        <w:rPr>
          <w:rFonts w:ascii="Times New Roman" w:hAnsi="Times New Roman" w:cs="Times New Roman"/>
          <w:sz w:val="26"/>
          <w:szCs w:val="26"/>
          <w:lang w:val="uk-UA"/>
        </w:rPr>
        <w:t>л</w:t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t>ітики у сфері господарської діяльності»</w:t>
      </w:r>
      <w:r w:rsidR="00A002F5" w:rsidRPr="008F4D7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002F5" w:rsidRPr="008F4D73" w:rsidRDefault="00A002F5" w:rsidP="003B1E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sz w:val="26"/>
          <w:szCs w:val="26"/>
          <w:lang w:val="uk-UA"/>
        </w:rPr>
        <w:tab/>
        <w:t xml:space="preserve">Для встановлення кількісних значень показників результативності регуляторного акта було проведено аналіз надходження розміру коштів до бюджету </w:t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lastRenderedPageBreak/>
        <w:t>Лисичанської міської територіальної громади</w:t>
      </w:r>
      <w:r w:rsidR="00044107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910FFB" w:rsidRPr="008F4D73">
        <w:rPr>
          <w:rFonts w:ascii="Times New Roman" w:hAnsi="Times New Roman" w:cs="Times New Roman"/>
          <w:sz w:val="26"/>
          <w:szCs w:val="26"/>
          <w:lang w:val="uk-UA"/>
        </w:rPr>
        <w:t>платників із сплати земельного податку за землі із цільовим використанням «Землі енергетики, код КВЦПЗ 14»</w:t>
      </w:r>
      <w:r w:rsidR="00044107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="007039B8">
        <w:rPr>
          <w:rFonts w:ascii="Times New Roman" w:hAnsi="Times New Roman" w:cs="Times New Roman"/>
          <w:sz w:val="26"/>
          <w:szCs w:val="26"/>
          <w:lang w:val="uk-UA"/>
        </w:rPr>
        <w:t>кількості земель із цільовим використанням «Землі енергетики, код КВЦПЗ</w:t>
      </w:r>
      <w:r w:rsidR="00DD5222">
        <w:rPr>
          <w:rFonts w:ascii="Times New Roman" w:hAnsi="Times New Roman" w:cs="Times New Roman"/>
          <w:sz w:val="26"/>
          <w:szCs w:val="26"/>
          <w:lang w:val="uk-UA"/>
        </w:rPr>
        <w:t xml:space="preserve"> 14, по яким сплачується земельний податок</w:t>
      </w:r>
      <w:r w:rsidRPr="008F4D7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002F5" w:rsidRPr="008F4D73" w:rsidRDefault="00A002F5" w:rsidP="003B1E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002F5" w:rsidRDefault="00A002F5" w:rsidP="003B1E95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Кількісні та якісні значення показників результативності </w:t>
      </w:r>
      <w:proofErr w:type="spellStart"/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>акта</w:t>
      </w:r>
      <w:proofErr w:type="spellEnd"/>
    </w:p>
    <w:p w:rsidR="00044107" w:rsidRPr="008F4D73" w:rsidRDefault="00044107" w:rsidP="00044107">
      <w:pPr>
        <w:pStyle w:val="a3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113"/>
        <w:gridCol w:w="2078"/>
        <w:gridCol w:w="2046"/>
      </w:tblGrid>
      <w:tr w:rsidR="008F4D73" w:rsidRPr="009B0A69" w:rsidTr="003B1E95">
        <w:tc>
          <w:tcPr>
            <w:tcW w:w="5245" w:type="dxa"/>
          </w:tcPr>
          <w:p w:rsidR="003B27D4" w:rsidRPr="00044107" w:rsidRDefault="00044107" w:rsidP="005049C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4410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Кількісні та якісні значення показників результативності </w:t>
            </w:r>
            <w:proofErr w:type="spellStart"/>
            <w:r w:rsidRPr="0004410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2126" w:type="dxa"/>
          </w:tcPr>
          <w:p w:rsidR="003B27D4" w:rsidRPr="009B0A69" w:rsidRDefault="0073048B" w:rsidP="009B0A6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B0A6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2021 рік (факт.) </w:t>
            </w:r>
          </w:p>
        </w:tc>
        <w:tc>
          <w:tcPr>
            <w:tcW w:w="2092" w:type="dxa"/>
          </w:tcPr>
          <w:p w:rsidR="003B27D4" w:rsidRPr="009B0A69" w:rsidRDefault="0073048B" w:rsidP="009B0A6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B0A6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2022 рік (</w:t>
            </w:r>
            <w:r w:rsidR="00293C9D" w:rsidRPr="009B0A6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факт</w:t>
            </w:r>
            <w:r w:rsidRPr="009B0A6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.) </w:t>
            </w:r>
          </w:p>
        </w:tc>
      </w:tr>
      <w:tr w:rsidR="008F4D73" w:rsidRPr="008F4D73" w:rsidTr="003B1E95">
        <w:tc>
          <w:tcPr>
            <w:tcW w:w="5245" w:type="dxa"/>
          </w:tcPr>
          <w:p w:rsidR="003B27D4" w:rsidRPr="008F4D73" w:rsidRDefault="00044107" w:rsidP="009B0A6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441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Надходження до бюджету від сплати </w:t>
            </w:r>
            <w:r w:rsidR="009B0A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земельного податку</w:t>
            </w:r>
            <w:r w:rsidRPr="000441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землі із цільовим використанням «Землі енергетики, код КВЦПЗ 14», </w:t>
            </w:r>
            <w:proofErr w:type="spellStart"/>
            <w:r w:rsidRPr="000441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тис.грн</w:t>
            </w:r>
            <w:proofErr w:type="spellEnd"/>
          </w:p>
        </w:tc>
        <w:tc>
          <w:tcPr>
            <w:tcW w:w="2126" w:type="dxa"/>
          </w:tcPr>
          <w:p w:rsidR="003B27D4" w:rsidRPr="008F4D73" w:rsidRDefault="00293C9D" w:rsidP="003B1E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F4D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---</w:t>
            </w:r>
          </w:p>
        </w:tc>
        <w:tc>
          <w:tcPr>
            <w:tcW w:w="2092" w:type="dxa"/>
          </w:tcPr>
          <w:p w:rsidR="003B27D4" w:rsidRPr="008F4D73" w:rsidRDefault="00293C9D" w:rsidP="003B1E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F4D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---</w:t>
            </w:r>
          </w:p>
        </w:tc>
      </w:tr>
      <w:tr w:rsidR="008F4D73" w:rsidRPr="008F4D73" w:rsidTr="003B1E95">
        <w:tc>
          <w:tcPr>
            <w:tcW w:w="5245" w:type="dxa"/>
          </w:tcPr>
          <w:p w:rsidR="003B27D4" w:rsidRPr="008F4D73" w:rsidRDefault="009B0A69" w:rsidP="003B1E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Кількість </w:t>
            </w:r>
            <w:r w:rsidR="00044107" w:rsidRPr="000441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 із цільовим використанням «Землі енергетики, код КВЦПЗ 14»</w:t>
            </w:r>
            <w:r w:rsidR="00DD52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по яким сплачується земельний податок,</w:t>
            </w:r>
            <w:r w:rsidR="00044107" w:rsidRPr="000441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станом на 31 грудні звітного року, га</w:t>
            </w:r>
          </w:p>
        </w:tc>
        <w:tc>
          <w:tcPr>
            <w:tcW w:w="2126" w:type="dxa"/>
          </w:tcPr>
          <w:p w:rsidR="003B27D4" w:rsidRPr="008F4D73" w:rsidRDefault="00293C9D" w:rsidP="003B1E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F4D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---</w:t>
            </w:r>
          </w:p>
        </w:tc>
        <w:tc>
          <w:tcPr>
            <w:tcW w:w="2092" w:type="dxa"/>
          </w:tcPr>
          <w:p w:rsidR="003B27D4" w:rsidRPr="008F4D73" w:rsidRDefault="00293C9D" w:rsidP="003B1E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F4D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---</w:t>
            </w:r>
          </w:p>
        </w:tc>
      </w:tr>
    </w:tbl>
    <w:p w:rsidR="00B9589D" w:rsidRPr="008F4D73" w:rsidRDefault="00B9589D" w:rsidP="003B1E95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3048B" w:rsidRPr="008F4D73" w:rsidRDefault="0073048B" w:rsidP="003B1E95">
      <w:p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9B0A69" w:rsidRPr="009B0A69">
        <w:rPr>
          <w:rFonts w:ascii="Times New Roman" w:hAnsi="Times New Roman" w:cs="Times New Roman"/>
          <w:sz w:val="26"/>
          <w:szCs w:val="26"/>
          <w:lang w:val="uk-UA"/>
        </w:rPr>
        <w:t>Рівень поінформованості пл</w:t>
      </w:r>
      <w:r w:rsidR="00DD5222">
        <w:rPr>
          <w:rFonts w:ascii="Times New Roman" w:hAnsi="Times New Roman" w:cs="Times New Roman"/>
          <w:sz w:val="26"/>
          <w:szCs w:val="26"/>
          <w:lang w:val="uk-UA"/>
        </w:rPr>
        <w:t>атників земельного податку</w:t>
      </w:r>
      <w:r w:rsidR="009B0A69" w:rsidRPr="009B0A69">
        <w:rPr>
          <w:rFonts w:ascii="Times New Roman" w:hAnsi="Times New Roman" w:cs="Times New Roman"/>
          <w:sz w:val="26"/>
          <w:szCs w:val="26"/>
          <w:lang w:val="uk-UA"/>
        </w:rPr>
        <w:t xml:space="preserve"> за землю із цільовим використанням «Землі енергетики, код КВЦПЗ 14» з основними положеннями регуляторного </w:t>
      </w:r>
      <w:proofErr w:type="spellStart"/>
      <w:r w:rsidR="009B0A69" w:rsidRPr="009B0A69">
        <w:rPr>
          <w:rFonts w:ascii="Times New Roman" w:hAnsi="Times New Roman" w:cs="Times New Roman"/>
          <w:sz w:val="26"/>
          <w:szCs w:val="26"/>
          <w:lang w:val="uk-UA"/>
        </w:rPr>
        <w:t>акта</w:t>
      </w:r>
      <w:proofErr w:type="spellEnd"/>
      <w:r w:rsidR="009B0A69" w:rsidRPr="009B0A69">
        <w:rPr>
          <w:rFonts w:ascii="Times New Roman" w:hAnsi="Times New Roman" w:cs="Times New Roman"/>
          <w:sz w:val="26"/>
          <w:szCs w:val="26"/>
          <w:lang w:val="uk-UA"/>
        </w:rPr>
        <w:t xml:space="preserve"> – високий (розпорядження про встановлення ставок та пільг із сплати земельного податку оприлюднено на офіційному веб-сайті територіальної громади та у друкованому засобі масової інформації газеті «</w:t>
      </w:r>
      <w:proofErr w:type="spellStart"/>
      <w:r w:rsidR="009B0A69" w:rsidRPr="009B0A69">
        <w:rPr>
          <w:rFonts w:ascii="Times New Roman" w:hAnsi="Times New Roman" w:cs="Times New Roman"/>
          <w:sz w:val="26"/>
          <w:szCs w:val="26"/>
          <w:lang w:val="uk-UA"/>
        </w:rPr>
        <w:t>Новый</w:t>
      </w:r>
      <w:proofErr w:type="spellEnd"/>
      <w:r w:rsidR="009B0A69" w:rsidRPr="009B0A69">
        <w:rPr>
          <w:rFonts w:ascii="Times New Roman" w:hAnsi="Times New Roman" w:cs="Times New Roman"/>
          <w:sz w:val="26"/>
          <w:szCs w:val="26"/>
          <w:lang w:val="uk-UA"/>
        </w:rPr>
        <w:t xml:space="preserve"> путь №28(15156) від 15.07.2021).</w:t>
      </w:r>
    </w:p>
    <w:p w:rsidR="00846464" w:rsidRPr="008F4D73" w:rsidRDefault="00846464" w:rsidP="003B1E95">
      <w:p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6464" w:rsidRPr="008F4D73" w:rsidRDefault="004C0DBE" w:rsidP="003B1E95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b/>
          <w:sz w:val="26"/>
          <w:szCs w:val="26"/>
          <w:lang w:val="uk-UA"/>
        </w:rPr>
        <w:t>Оцінка результативності реалізації регуляторного акта та ступеня досягнення цілей</w:t>
      </w:r>
    </w:p>
    <w:p w:rsidR="004C0DBE" w:rsidRPr="008F4D73" w:rsidRDefault="004C0DBE" w:rsidP="003B1E95">
      <w:pPr>
        <w:pStyle w:val="a3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C0DBE" w:rsidRPr="008F4D73" w:rsidRDefault="004C0DBE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4D7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B0A69" w:rsidRPr="009B0A69">
        <w:rPr>
          <w:rFonts w:ascii="Times New Roman" w:hAnsi="Times New Roman" w:cs="Times New Roman"/>
          <w:sz w:val="26"/>
          <w:szCs w:val="26"/>
          <w:lang w:val="uk-UA"/>
        </w:rPr>
        <w:t xml:space="preserve">Оцінка результативності реалізації регуляторного </w:t>
      </w:r>
      <w:proofErr w:type="spellStart"/>
      <w:r w:rsidR="009B0A69" w:rsidRPr="009B0A69">
        <w:rPr>
          <w:rFonts w:ascii="Times New Roman" w:hAnsi="Times New Roman" w:cs="Times New Roman"/>
          <w:sz w:val="26"/>
          <w:szCs w:val="26"/>
          <w:lang w:val="uk-UA"/>
        </w:rPr>
        <w:t>акта</w:t>
      </w:r>
      <w:proofErr w:type="spellEnd"/>
      <w:r w:rsidR="009B0A69" w:rsidRPr="009B0A69">
        <w:rPr>
          <w:rFonts w:ascii="Times New Roman" w:hAnsi="Times New Roman" w:cs="Times New Roman"/>
          <w:sz w:val="26"/>
          <w:szCs w:val="26"/>
          <w:lang w:val="uk-UA"/>
        </w:rPr>
        <w:t xml:space="preserve"> та ступеня досягнення цілей будуть визначені при повторному відстеженні. Повторне відстеження регуляторного акту буде проведено через рік після набрання ним чинності у січні 2023 року, враховуючи інформацію щодо фактичних показників надходжень до бюджету ві</w:t>
      </w:r>
      <w:r w:rsidR="00DD5222">
        <w:rPr>
          <w:rFonts w:ascii="Times New Roman" w:hAnsi="Times New Roman" w:cs="Times New Roman"/>
          <w:sz w:val="26"/>
          <w:szCs w:val="26"/>
          <w:lang w:val="uk-UA"/>
        </w:rPr>
        <w:t xml:space="preserve">д сплати земельного податку  та кількості </w:t>
      </w:r>
      <w:r w:rsidR="009B0A69" w:rsidRPr="009B0A69">
        <w:rPr>
          <w:rFonts w:ascii="Times New Roman" w:hAnsi="Times New Roman" w:cs="Times New Roman"/>
          <w:sz w:val="26"/>
          <w:szCs w:val="26"/>
          <w:lang w:val="uk-UA"/>
        </w:rPr>
        <w:t>земель</w:t>
      </w:r>
      <w:r w:rsidR="00DD5222">
        <w:rPr>
          <w:rFonts w:ascii="Times New Roman" w:hAnsi="Times New Roman" w:cs="Times New Roman"/>
          <w:sz w:val="26"/>
          <w:szCs w:val="26"/>
          <w:lang w:val="uk-UA"/>
        </w:rPr>
        <w:t>, по яким сплачується земельний податок,</w:t>
      </w:r>
      <w:r w:rsidR="009B0A69" w:rsidRPr="009B0A69">
        <w:rPr>
          <w:rFonts w:ascii="Times New Roman" w:hAnsi="Times New Roman" w:cs="Times New Roman"/>
          <w:sz w:val="26"/>
          <w:szCs w:val="26"/>
          <w:lang w:val="uk-UA"/>
        </w:rPr>
        <w:t xml:space="preserve"> із цільовим використанням: «Землі енергетики, код КВЦПЗ 14» за період 2021-2022 роки.</w:t>
      </w:r>
    </w:p>
    <w:p w:rsidR="00DC35C3" w:rsidRPr="002457EE" w:rsidRDefault="00DC35C3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</w:p>
    <w:p w:rsidR="00DC35C3" w:rsidRDefault="00DC35C3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C35C3" w:rsidRDefault="00DC35C3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C35C3" w:rsidRDefault="00DC35C3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457EE" w:rsidRDefault="002457EE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Заступник к</w:t>
      </w:r>
      <w:r w:rsidR="007E7772" w:rsidRPr="007E7772">
        <w:rPr>
          <w:rFonts w:ascii="Times New Roman" w:hAnsi="Times New Roman" w:cs="Times New Roman"/>
          <w:b/>
          <w:sz w:val="26"/>
          <w:szCs w:val="26"/>
          <w:lang w:val="uk-UA"/>
        </w:rPr>
        <w:t>ерівник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</w:p>
    <w:p w:rsidR="00DC35C3" w:rsidRPr="007E7772" w:rsidRDefault="007E7772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E7772">
        <w:rPr>
          <w:rFonts w:ascii="Times New Roman" w:hAnsi="Times New Roman" w:cs="Times New Roman"/>
          <w:b/>
          <w:sz w:val="26"/>
          <w:szCs w:val="26"/>
          <w:lang w:val="uk-UA"/>
        </w:rPr>
        <w:t>Лисичанської міської</w:t>
      </w:r>
    </w:p>
    <w:p w:rsidR="007E7772" w:rsidRDefault="007E7772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E777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військово-цивільної адміністрації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2457EE">
        <w:rPr>
          <w:rFonts w:ascii="Times New Roman" w:hAnsi="Times New Roman" w:cs="Times New Roman"/>
          <w:b/>
          <w:sz w:val="26"/>
          <w:szCs w:val="26"/>
          <w:lang w:val="uk-UA"/>
        </w:rPr>
        <w:t>Євген НАЮК</w:t>
      </w:r>
    </w:p>
    <w:p w:rsidR="002457EE" w:rsidRDefault="002457EE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457EE" w:rsidRDefault="002457EE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Начальник управління власності</w:t>
      </w:r>
    </w:p>
    <w:p w:rsidR="002457EE" w:rsidRDefault="002457EE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Лисичанської міської </w:t>
      </w:r>
    </w:p>
    <w:p w:rsidR="002457EE" w:rsidRDefault="002457EE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військово-цивільної адміністрації</w:t>
      </w:r>
    </w:p>
    <w:p w:rsidR="002457EE" w:rsidRDefault="002457EE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Сєвєродонецького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району </w:t>
      </w:r>
    </w:p>
    <w:p w:rsidR="002457EE" w:rsidRPr="007E7772" w:rsidRDefault="002457EE" w:rsidP="003B1E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Луганської області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Тетяна ГРЕЧКО</w:t>
      </w:r>
    </w:p>
    <w:sectPr w:rsidR="002457EE" w:rsidRPr="007E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E355A"/>
    <w:multiLevelType w:val="hybridMultilevel"/>
    <w:tmpl w:val="99C8F3AC"/>
    <w:lvl w:ilvl="0" w:tplc="C166E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E53B5"/>
    <w:multiLevelType w:val="hybridMultilevel"/>
    <w:tmpl w:val="FB9E9998"/>
    <w:lvl w:ilvl="0" w:tplc="E81AF51E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3017A7"/>
    <w:multiLevelType w:val="hybridMultilevel"/>
    <w:tmpl w:val="093C8016"/>
    <w:lvl w:ilvl="0" w:tplc="FD32FE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BE"/>
    <w:rsid w:val="00023D43"/>
    <w:rsid w:val="00044107"/>
    <w:rsid w:val="0007218D"/>
    <w:rsid w:val="002457EE"/>
    <w:rsid w:val="00293C9D"/>
    <w:rsid w:val="0031748D"/>
    <w:rsid w:val="003438BE"/>
    <w:rsid w:val="00377BC3"/>
    <w:rsid w:val="003B1E95"/>
    <w:rsid w:val="003B27D4"/>
    <w:rsid w:val="003F5951"/>
    <w:rsid w:val="004C0DBE"/>
    <w:rsid w:val="004E017F"/>
    <w:rsid w:val="005049C7"/>
    <w:rsid w:val="00643B73"/>
    <w:rsid w:val="007039B8"/>
    <w:rsid w:val="0073048B"/>
    <w:rsid w:val="00761223"/>
    <w:rsid w:val="007E7772"/>
    <w:rsid w:val="00846464"/>
    <w:rsid w:val="008F4D73"/>
    <w:rsid w:val="00910FFB"/>
    <w:rsid w:val="009372C9"/>
    <w:rsid w:val="009B0A69"/>
    <w:rsid w:val="00A002F5"/>
    <w:rsid w:val="00A5600A"/>
    <w:rsid w:val="00B9589D"/>
    <w:rsid w:val="00C63940"/>
    <w:rsid w:val="00D1786A"/>
    <w:rsid w:val="00DB2950"/>
    <w:rsid w:val="00DC35C3"/>
    <w:rsid w:val="00DD5222"/>
    <w:rsid w:val="00E4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AE750-DBEA-495E-ABA2-23BE16CB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23D4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23D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 Spacing"/>
    <w:link w:val="a5"/>
    <w:qFormat/>
    <w:rsid w:val="00023D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023D43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B2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admin</cp:lastModifiedBy>
  <cp:revision>7</cp:revision>
  <dcterms:created xsi:type="dcterms:W3CDTF">2021-12-23T11:49:00Z</dcterms:created>
  <dcterms:modified xsi:type="dcterms:W3CDTF">2021-12-24T11:30:00Z</dcterms:modified>
</cp:coreProperties>
</file>