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0" w:rsidRPr="00537D46" w:rsidRDefault="00537D46" w:rsidP="00537D46">
      <w:pPr>
        <w:spacing w:after="0" w:line="240" w:lineRule="auto"/>
        <w:jc w:val="center"/>
        <w:rPr>
          <w:rFonts w:ascii="Times New Roman" w:hAnsi="Times New Roman" w:cs="Times New Roman"/>
          <w:b/>
          <w:sz w:val="28"/>
          <w:szCs w:val="28"/>
        </w:rPr>
      </w:pPr>
      <w:bookmarkStart w:id="0" w:name="_GoBack"/>
      <w:bookmarkEnd w:id="0"/>
      <w:r w:rsidRPr="00537D46">
        <w:rPr>
          <w:rFonts w:ascii="Times New Roman" w:hAnsi="Times New Roman" w:cs="Times New Roman"/>
          <w:b/>
          <w:sz w:val="28"/>
          <w:szCs w:val="28"/>
        </w:rPr>
        <w:t>ЗВІТ</w:t>
      </w:r>
    </w:p>
    <w:p w:rsidR="00537D46" w:rsidRPr="00537D46" w:rsidRDefault="00537D46" w:rsidP="00537D46">
      <w:pPr>
        <w:spacing w:after="0" w:line="240" w:lineRule="auto"/>
        <w:jc w:val="center"/>
        <w:rPr>
          <w:rFonts w:ascii="Times New Roman" w:hAnsi="Times New Roman" w:cs="Times New Roman"/>
          <w:b/>
          <w:sz w:val="28"/>
          <w:szCs w:val="28"/>
        </w:rPr>
      </w:pPr>
      <w:r w:rsidRPr="00537D46">
        <w:rPr>
          <w:rFonts w:ascii="Times New Roman" w:hAnsi="Times New Roman" w:cs="Times New Roman"/>
          <w:b/>
          <w:sz w:val="28"/>
          <w:szCs w:val="28"/>
        </w:rPr>
        <w:t>про базове відстеження результативності регуляторного акта – розпорядження керівника Лисичанської міської військово-цивільної адміністрації «Про встановлення ставок єдиного податку»</w:t>
      </w:r>
    </w:p>
    <w:p w:rsidR="00537D46" w:rsidRDefault="00537D46" w:rsidP="00537D46">
      <w:pPr>
        <w:spacing w:after="0" w:line="240" w:lineRule="auto"/>
        <w:jc w:val="both"/>
        <w:rPr>
          <w:rFonts w:ascii="Times New Roman" w:hAnsi="Times New Roman" w:cs="Times New Roman"/>
          <w:sz w:val="28"/>
          <w:szCs w:val="28"/>
        </w:rPr>
      </w:pPr>
    </w:p>
    <w:p w:rsidR="00537D46" w:rsidRDefault="00537D46" w:rsidP="00537D46">
      <w:pPr>
        <w:spacing w:after="0" w:line="240" w:lineRule="auto"/>
        <w:ind w:left="7088"/>
        <w:jc w:val="both"/>
        <w:rPr>
          <w:rFonts w:ascii="Times New Roman" w:hAnsi="Times New Roman" w:cs="Times New Roman"/>
          <w:sz w:val="28"/>
          <w:szCs w:val="28"/>
        </w:rPr>
      </w:pPr>
      <w:r>
        <w:rPr>
          <w:rFonts w:ascii="Times New Roman" w:hAnsi="Times New Roman" w:cs="Times New Roman"/>
          <w:sz w:val="28"/>
          <w:szCs w:val="28"/>
        </w:rPr>
        <w:t>24 грудня 2021 року</w:t>
      </w:r>
    </w:p>
    <w:p w:rsidR="00537D46" w:rsidRDefault="00537D46" w:rsidP="00537D46">
      <w:pPr>
        <w:spacing w:after="0" w:line="240" w:lineRule="auto"/>
        <w:jc w:val="center"/>
        <w:rPr>
          <w:rFonts w:ascii="Times New Roman" w:hAnsi="Times New Roman" w:cs="Times New Roman"/>
          <w:sz w:val="28"/>
          <w:szCs w:val="28"/>
        </w:rPr>
      </w:pPr>
    </w:p>
    <w:p w:rsidR="00537D46" w:rsidRDefault="00537D46" w:rsidP="005318D9">
      <w:pPr>
        <w:spacing w:after="0" w:line="240" w:lineRule="auto"/>
        <w:ind w:firstLine="709"/>
        <w:jc w:val="both"/>
        <w:rPr>
          <w:rFonts w:ascii="Times New Roman" w:hAnsi="Times New Roman" w:cs="Times New Roman"/>
          <w:sz w:val="28"/>
          <w:szCs w:val="28"/>
        </w:rPr>
      </w:pPr>
    </w:p>
    <w:p w:rsidR="00537D46" w:rsidRPr="00537D46" w:rsidRDefault="00537D46" w:rsidP="005318D9">
      <w:pPr>
        <w:spacing w:after="0" w:line="240" w:lineRule="auto"/>
        <w:ind w:firstLine="709"/>
        <w:jc w:val="both"/>
        <w:rPr>
          <w:rFonts w:ascii="Times New Roman" w:hAnsi="Times New Roman" w:cs="Times New Roman"/>
          <w:b/>
          <w:sz w:val="28"/>
          <w:szCs w:val="28"/>
        </w:rPr>
      </w:pPr>
      <w:r w:rsidRPr="00537D46">
        <w:rPr>
          <w:rFonts w:ascii="Times New Roman" w:hAnsi="Times New Roman" w:cs="Times New Roman"/>
          <w:b/>
          <w:sz w:val="28"/>
          <w:szCs w:val="28"/>
        </w:rPr>
        <w:t>1. Вид та назва регуляторного акта</w:t>
      </w:r>
    </w:p>
    <w:p w:rsidR="00537D46" w:rsidRPr="00537D46" w:rsidRDefault="00537D46" w:rsidP="00531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37D46">
        <w:rPr>
          <w:rFonts w:ascii="Times New Roman" w:hAnsi="Times New Roman" w:cs="Times New Roman"/>
          <w:sz w:val="28"/>
          <w:szCs w:val="28"/>
        </w:rPr>
        <w:t>озпорядження керівника Лисичанської міської військово-цивільної адміністрації</w:t>
      </w:r>
      <w:r>
        <w:rPr>
          <w:rFonts w:ascii="Times New Roman" w:hAnsi="Times New Roman" w:cs="Times New Roman"/>
          <w:sz w:val="28"/>
          <w:szCs w:val="28"/>
        </w:rPr>
        <w:t xml:space="preserve"> від 30.06.2021 № 618</w:t>
      </w:r>
      <w:r w:rsidRPr="00537D46">
        <w:rPr>
          <w:rFonts w:ascii="Times New Roman" w:hAnsi="Times New Roman" w:cs="Times New Roman"/>
          <w:sz w:val="28"/>
          <w:szCs w:val="28"/>
        </w:rPr>
        <w:t xml:space="preserve"> «Про встановлення ставок єдиного податку»</w:t>
      </w:r>
    </w:p>
    <w:p w:rsidR="00537D46" w:rsidRPr="00537D46" w:rsidRDefault="00537D46" w:rsidP="005318D9">
      <w:pPr>
        <w:spacing w:after="0" w:line="240" w:lineRule="auto"/>
        <w:ind w:firstLine="709"/>
        <w:jc w:val="both"/>
        <w:rPr>
          <w:rFonts w:ascii="Times New Roman" w:hAnsi="Times New Roman" w:cs="Times New Roman"/>
          <w:sz w:val="28"/>
          <w:szCs w:val="28"/>
        </w:rPr>
      </w:pPr>
    </w:p>
    <w:p w:rsidR="00537D46" w:rsidRPr="00537D46" w:rsidRDefault="00537D46" w:rsidP="005318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537D46">
        <w:rPr>
          <w:rFonts w:ascii="Times New Roman" w:hAnsi="Times New Roman" w:cs="Times New Roman"/>
          <w:b/>
          <w:sz w:val="28"/>
          <w:szCs w:val="28"/>
        </w:rPr>
        <w:t xml:space="preserve">. </w:t>
      </w:r>
      <w:r>
        <w:rPr>
          <w:rFonts w:ascii="Times New Roman" w:hAnsi="Times New Roman" w:cs="Times New Roman"/>
          <w:b/>
          <w:sz w:val="28"/>
          <w:szCs w:val="28"/>
        </w:rPr>
        <w:t>Назва виконавця заходів з відстеження результативності</w:t>
      </w:r>
    </w:p>
    <w:p w:rsidR="00537D46" w:rsidRDefault="00537D46" w:rsidP="00531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Відділ економіки Лисичанської міської військово-цивільної адміністрації</w:t>
      </w:r>
    </w:p>
    <w:p w:rsidR="00537D46" w:rsidRDefault="00537D46" w:rsidP="005318D9">
      <w:pPr>
        <w:spacing w:after="0" w:line="240" w:lineRule="auto"/>
        <w:ind w:firstLine="709"/>
        <w:jc w:val="both"/>
        <w:rPr>
          <w:rFonts w:ascii="Times New Roman" w:hAnsi="Times New Roman" w:cs="Times New Roman"/>
          <w:sz w:val="28"/>
          <w:szCs w:val="28"/>
        </w:rPr>
      </w:pPr>
    </w:p>
    <w:p w:rsidR="00537D46" w:rsidRPr="00E8684B" w:rsidRDefault="00E8684B" w:rsidP="005318D9">
      <w:pPr>
        <w:spacing w:after="0" w:line="240" w:lineRule="auto"/>
        <w:ind w:firstLine="709"/>
        <w:jc w:val="both"/>
        <w:rPr>
          <w:rFonts w:ascii="Times New Roman" w:hAnsi="Times New Roman" w:cs="Times New Roman"/>
          <w:b/>
          <w:sz w:val="28"/>
          <w:szCs w:val="28"/>
        </w:rPr>
      </w:pPr>
      <w:r w:rsidRPr="00E8684B">
        <w:rPr>
          <w:rFonts w:ascii="Times New Roman" w:hAnsi="Times New Roman" w:cs="Times New Roman"/>
          <w:b/>
          <w:sz w:val="28"/>
          <w:szCs w:val="28"/>
        </w:rPr>
        <w:t>3. Цілі прийняття акта</w:t>
      </w:r>
    </w:p>
    <w:p w:rsidR="00E8684B" w:rsidRPr="00E8684B" w:rsidRDefault="00E8684B" w:rsidP="00E8684B">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sz w:val="28"/>
          <w:szCs w:val="28"/>
        </w:rPr>
        <w:t>Виконання вимог чинного законодавства.</w:t>
      </w:r>
    </w:p>
    <w:p w:rsidR="00E8684B" w:rsidRPr="00E8684B" w:rsidRDefault="00E8684B" w:rsidP="00E8684B">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sz w:val="28"/>
          <w:szCs w:val="28"/>
        </w:rPr>
        <w:t>Врегулювання правовідносин між Лисичанською міською військово-цивільної адміністрації Сєвєродонецького району Луганської області та суб’єктами господарювання в процесі нарахування та сплати єдиного податку.</w:t>
      </w:r>
    </w:p>
    <w:p w:rsidR="00E8684B" w:rsidRPr="00E8684B" w:rsidRDefault="00E8684B" w:rsidP="00E8684B">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sz w:val="28"/>
          <w:szCs w:val="28"/>
        </w:rPr>
        <w:t>Встановлення ставок єдиного податку, які б дозволили забезпечити сталі надходження до бюджету громади для виконання програм соціально-економічного розвитку територіальної громади та міських цільових програм сприяння розвитку малого підприємництва.</w:t>
      </w:r>
    </w:p>
    <w:p w:rsidR="00E8684B" w:rsidRPr="00E8684B" w:rsidRDefault="00E8684B" w:rsidP="00E8684B">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sz w:val="28"/>
          <w:szCs w:val="28"/>
        </w:rPr>
        <w:t>Здійснення планування та прогнозування надходжень від місцевих податків та зборів при формуванні місцевого бюджету Лисичанської міської територіальної громади.</w:t>
      </w:r>
    </w:p>
    <w:p w:rsidR="00E8684B" w:rsidRPr="00E8684B" w:rsidRDefault="00E8684B" w:rsidP="00E8684B">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sz w:val="28"/>
          <w:szCs w:val="28"/>
        </w:rPr>
        <w:t>Встановлення доцільних та обґрунтованих розмірів ставок єдиного податку з урахуванням рівня платоспроможності суб’єктів господарювання за видами економічної діяльності.</w:t>
      </w:r>
    </w:p>
    <w:p w:rsidR="00E8684B" w:rsidRPr="00E8684B" w:rsidRDefault="00E8684B" w:rsidP="00E8684B">
      <w:pPr>
        <w:spacing w:after="0" w:line="240" w:lineRule="auto"/>
        <w:ind w:firstLine="709"/>
        <w:jc w:val="both"/>
        <w:rPr>
          <w:rFonts w:ascii="Times New Roman" w:hAnsi="Times New Roman" w:cs="Times New Roman"/>
          <w:sz w:val="28"/>
          <w:szCs w:val="28"/>
        </w:rPr>
      </w:pPr>
    </w:p>
    <w:p w:rsidR="00E8684B" w:rsidRDefault="00E8684B" w:rsidP="005318D9">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b/>
          <w:sz w:val="28"/>
          <w:szCs w:val="28"/>
        </w:rPr>
        <w:t>4. Строк виконання заходів з відстеження</w:t>
      </w:r>
      <w:r w:rsidR="00C5552C">
        <w:rPr>
          <w:rFonts w:ascii="Times New Roman" w:hAnsi="Times New Roman" w:cs="Times New Roman"/>
          <w:b/>
          <w:sz w:val="28"/>
          <w:szCs w:val="28"/>
        </w:rPr>
        <w:t xml:space="preserve"> – </w:t>
      </w:r>
      <w:r w:rsidR="00C5552C" w:rsidRPr="00C5552C">
        <w:rPr>
          <w:rFonts w:ascii="Times New Roman" w:hAnsi="Times New Roman" w:cs="Times New Roman"/>
          <w:sz w:val="26"/>
          <w:szCs w:val="26"/>
        </w:rPr>
        <w:t xml:space="preserve">з </w:t>
      </w:r>
      <w:r w:rsidRPr="00C5552C">
        <w:rPr>
          <w:rFonts w:ascii="Times New Roman" w:hAnsi="Times New Roman" w:cs="Times New Roman"/>
          <w:sz w:val="26"/>
          <w:szCs w:val="26"/>
        </w:rPr>
        <w:t>20.12.2021 по 23.12.2021 р</w:t>
      </w:r>
      <w:r w:rsidR="00C5552C" w:rsidRPr="00C5552C">
        <w:rPr>
          <w:rFonts w:ascii="Times New Roman" w:hAnsi="Times New Roman" w:cs="Times New Roman"/>
          <w:sz w:val="26"/>
          <w:szCs w:val="26"/>
        </w:rPr>
        <w:t>.</w:t>
      </w:r>
    </w:p>
    <w:p w:rsidR="00E8684B" w:rsidRDefault="00E8684B" w:rsidP="005318D9">
      <w:pPr>
        <w:spacing w:after="0" w:line="240" w:lineRule="auto"/>
        <w:ind w:firstLine="709"/>
        <w:jc w:val="both"/>
        <w:rPr>
          <w:rFonts w:ascii="Times New Roman" w:hAnsi="Times New Roman" w:cs="Times New Roman"/>
          <w:sz w:val="28"/>
          <w:szCs w:val="28"/>
        </w:rPr>
      </w:pPr>
    </w:p>
    <w:p w:rsidR="00E8684B" w:rsidRDefault="00E8684B" w:rsidP="005318D9">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b/>
          <w:sz w:val="28"/>
          <w:szCs w:val="28"/>
        </w:rPr>
        <w:t>5. Тип відстеження</w:t>
      </w:r>
      <w:r>
        <w:rPr>
          <w:rFonts w:ascii="Times New Roman" w:hAnsi="Times New Roman" w:cs="Times New Roman"/>
          <w:sz w:val="28"/>
          <w:szCs w:val="28"/>
        </w:rPr>
        <w:t xml:space="preserve"> – базове відстеження.</w:t>
      </w:r>
    </w:p>
    <w:p w:rsidR="00E8684B" w:rsidRDefault="00E8684B" w:rsidP="005318D9">
      <w:pPr>
        <w:spacing w:after="0" w:line="240" w:lineRule="auto"/>
        <w:ind w:firstLine="709"/>
        <w:jc w:val="both"/>
        <w:rPr>
          <w:rFonts w:ascii="Times New Roman" w:hAnsi="Times New Roman" w:cs="Times New Roman"/>
          <w:sz w:val="28"/>
          <w:szCs w:val="28"/>
        </w:rPr>
      </w:pPr>
    </w:p>
    <w:p w:rsidR="00E8684B" w:rsidRDefault="00E8684B" w:rsidP="005318D9">
      <w:pPr>
        <w:spacing w:after="0" w:line="240" w:lineRule="auto"/>
        <w:ind w:firstLine="709"/>
        <w:jc w:val="both"/>
        <w:rPr>
          <w:rFonts w:ascii="Times New Roman" w:hAnsi="Times New Roman" w:cs="Times New Roman"/>
          <w:sz w:val="28"/>
          <w:szCs w:val="28"/>
        </w:rPr>
      </w:pPr>
      <w:r w:rsidRPr="00E8684B">
        <w:rPr>
          <w:rFonts w:ascii="Times New Roman" w:hAnsi="Times New Roman" w:cs="Times New Roman"/>
          <w:b/>
          <w:sz w:val="28"/>
          <w:szCs w:val="28"/>
        </w:rPr>
        <w:t>6. Метод одержання результатів відстеження</w:t>
      </w:r>
    </w:p>
    <w:p w:rsidR="00E8684B" w:rsidRDefault="00756881" w:rsidP="00531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проведення базового відстеження було використано статистичний метод. Відстеження результативності регуляторного акта проведено відповідно до фактичних надходжень до бюджету Лисичанської міської територіальної громади від платників єдиного податку.</w:t>
      </w:r>
    </w:p>
    <w:p w:rsidR="00756881" w:rsidRPr="00D14FCA" w:rsidRDefault="00756881" w:rsidP="005318D9">
      <w:pPr>
        <w:spacing w:after="0" w:line="240" w:lineRule="auto"/>
        <w:ind w:firstLine="709"/>
        <w:jc w:val="both"/>
        <w:rPr>
          <w:rFonts w:ascii="Times New Roman" w:hAnsi="Times New Roman" w:cs="Times New Roman"/>
          <w:b/>
          <w:sz w:val="28"/>
          <w:szCs w:val="28"/>
        </w:rPr>
      </w:pPr>
    </w:p>
    <w:p w:rsidR="00756881" w:rsidRPr="00D14FCA" w:rsidRDefault="00756881" w:rsidP="005318D9">
      <w:pPr>
        <w:spacing w:after="0" w:line="240" w:lineRule="auto"/>
        <w:ind w:firstLine="709"/>
        <w:jc w:val="both"/>
        <w:rPr>
          <w:rFonts w:ascii="Times New Roman" w:hAnsi="Times New Roman" w:cs="Times New Roman"/>
          <w:b/>
          <w:sz w:val="28"/>
          <w:szCs w:val="28"/>
        </w:rPr>
      </w:pPr>
      <w:r w:rsidRPr="00D14FCA">
        <w:rPr>
          <w:rFonts w:ascii="Times New Roman" w:hAnsi="Times New Roman" w:cs="Times New Roman"/>
          <w:b/>
          <w:sz w:val="28"/>
          <w:szCs w:val="28"/>
        </w:rPr>
        <w:t>7. Дані припущення на основі яких відстежувалися результативність, а також способи одержання інформація</w:t>
      </w:r>
    </w:p>
    <w:p w:rsidR="00756881" w:rsidRDefault="00756881" w:rsidP="00531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встановлення кількісних значень показників результативності регуляторного акта був проведений аналіз надходжень до місцевого бюджету </w:t>
      </w:r>
      <w:r>
        <w:rPr>
          <w:rFonts w:ascii="Times New Roman" w:hAnsi="Times New Roman" w:cs="Times New Roman"/>
          <w:sz w:val="28"/>
          <w:szCs w:val="28"/>
        </w:rPr>
        <w:lastRenderedPageBreak/>
        <w:t xml:space="preserve">від сплати єдиного податку за даними фінансового управління </w:t>
      </w:r>
      <w:r w:rsidR="00D14FCA">
        <w:rPr>
          <w:rFonts w:ascii="Times New Roman" w:hAnsi="Times New Roman" w:cs="Times New Roman"/>
          <w:sz w:val="28"/>
          <w:szCs w:val="28"/>
        </w:rPr>
        <w:t>Лисичанської</w:t>
      </w:r>
      <w:r>
        <w:rPr>
          <w:rFonts w:ascii="Times New Roman" w:hAnsi="Times New Roman" w:cs="Times New Roman"/>
          <w:sz w:val="28"/>
          <w:szCs w:val="28"/>
        </w:rPr>
        <w:t xml:space="preserve"> міської ВЦА.</w:t>
      </w:r>
    </w:p>
    <w:p w:rsidR="00756881" w:rsidRDefault="00756881" w:rsidP="005318D9">
      <w:pPr>
        <w:spacing w:after="0" w:line="240" w:lineRule="auto"/>
        <w:ind w:firstLine="709"/>
        <w:jc w:val="both"/>
        <w:rPr>
          <w:rFonts w:ascii="Times New Roman" w:hAnsi="Times New Roman" w:cs="Times New Roman"/>
          <w:sz w:val="28"/>
          <w:szCs w:val="28"/>
        </w:rPr>
      </w:pPr>
    </w:p>
    <w:p w:rsidR="00756881" w:rsidRPr="004C3953" w:rsidRDefault="004C3953" w:rsidP="005318D9">
      <w:pPr>
        <w:spacing w:after="0" w:line="240" w:lineRule="auto"/>
        <w:ind w:firstLine="709"/>
        <w:jc w:val="both"/>
        <w:rPr>
          <w:rFonts w:ascii="Times New Roman" w:hAnsi="Times New Roman" w:cs="Times New Roman"/>
          <w:b/>
          <w:sz w:val="28"/>
          <w:szCs w:val="28"/>
        </w:rPr>
      </w:pPr>
      <w:r w:rsidRPr="004C3953">
        <w:rPr>
          <w:rFonts w:ascii="Times New Roman" w:hAnsi="Times New Roman" w:cs="Times New Roman"/>
          <w:b/>
          <w:sz w:val="28"/>
          <w:szCs w:val="28"/>
        </w:rPr>
        <w:t>8. Кількісні і якісні значення показників результативності регуляторного акта</w:t>
      </w:r>
    </w:p>
    <w:p w:rsidR="004C3953" w:rsidRDefault="004C3953" w:rsidP="005318D9">
      <w:pPr>
        <w:spacing w:after="0" w:line="240" w:lineRule="auto"/>
        <w:ind w:firstLine="709"/>
        <w:jc w:val="both"/>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5345"/>
        <w:gridCol w:w="1721"/>
        <w:gridCol w:w="1398"/>
        <w:gridCol w:w="1390"/>
      </w:tblGrid>
      <w:tr w:rsidR="004C3953" w:rsidRPr="004C3953" w:rsidTr="004C3953">
        <w:trPr>
          <w:trHeight w:val="20"/>
          <w:jc w:val="center"/>
        </w:trPr>
        <w:tc>
          <w:tcPr>
            <w:tcW w:w="0" w:type="auto"/>
            <w:vAlign w:val="center"/>
          </w:tcPr>
          <w:p w:rsidR="004C3953" w:rsidRPr="004C3953" w:rsidRDefault="004C3953" w:rsidP="004C3953">
            <w:pPr>
              <w:jc w:val="center"/>
              <w:rPr>
                <w:sz w:val="28"/>
                <w:szCs w:val="28"/>
                <w:lang w:val="uk-UA"/>
              </w:rPr>
            </w:pPr>
            <w:r w:rsidRPr="004C3953">
              <w:rPr>
                <w:sz w:val="28"/>
                <w:szCs w:val="28"/>
                <w:lang w:val="uk-UA"/>
              </w:rPr>
              <w:t>Показники</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Факт 2021 , очікуване, тис.</w:t>
            </w:r>
            <w:r>
              <w:rPr>
                <w:sz w:val="28"/>
                <w:szCs w:val="28"/>
                <w:lang w:val="uk-UA"/>
              </w:rPr>
              <w:t xml:space="preserve"> грн</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План 2022 рік , тис.</w:t>
            </w:r>
            <w:r>
              <w:rPr>
                <w:sz w:val="28"/>
                <w:szCs w:val="28"/>
                <w:lang w:val="uk-UA"/>
              </w:rPr>
              <w:t xml:space="preserve"> грн</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План 2023 рік, тис.</w:t>
            </w:r>
            <w:r>
              <w:rPr>
                <w:sz w:val="28"/>
                <w:szCs w:val="28"/>
                <w:lang w:val="uk-UA"/>
              </w:rPr>
              <w:t xml:space="preserve"> </w:t>
            </w:r>
            <w:r w:rsidRPr="004C3953">
              <w:rPr>
                <w:sz w:val="28"/>
                <w:szCs w:val="28"/>
                <w:lang w:val="uk-UA"/>
              </w:rPr>
              <w:t>грн</w:t>
            </w:r>
          </w:p>
        </w:tc>
      </w:tr>
      <w:tr w:rsidR="004C3953" w:rsidRPr="004C3953" w:rsidTr="004C3953">
        <w:trPr>
          <w:trHeight w:val="20"/>
          <w:jc w:val="center"/>
        </w:trPr>
        <w:tc>
          <w:tcPr>
            <w:tcW w:w="0" w:type="auto"/>
            <w:vAlign w:val="center"/>
          </w:tcPr>
          <w:p w:rsidR="004C3953" w:rsidRPr="004C3953" w:rsidRDefault="004C3953" w:rsidP="004C3953">
            <w:pPr>
              <w:jc w:val="both"/>
              <w:rPr>
                <w:b/>
                <w:sz w:val="28"/>
                <w:szCs w:val="28"/>
                <w:lang w:val="uk-UA"/>
              </w:rPr>
            </w:pPr>
            <w:r w:rsidRPr="004C3953">
              <w:rPr>
                <w:b/>
                <w:sz w:val="28"/>
                <w:szCs w:val="28"/>
                <w:lang w:val="uk-UA"/>
              </w:rPr>
              <w:t>Сплата єдиного податку , всього, в т.ч.</w:t>
            </w:r>
          </w:p>
        </w:tc>
        <w:tc>
          <w:tcPr>
            <w:tcW w:w="0" w:type="auto"/>
            <w:vAlign w:val="center"/>
          </w:tcPr>
          <w:p w:rsidR="004C3953" w:rsidRPr="004C3953" w:rsidRDefault="004C3953" w:rsidP="004C3953">
            <w:pPr>
              <w:jc w:val="center"/>
              <w:rPr>
                <w:b/>
                <w:sz w:val="28"/>
                <w:szCs w:val="28"/>
                <w:lang w:val="uk-UA"/>
              </w:rPr>
            </w:pPr>
            <w:r w:rsidRPr="004C3953">
              <w:rPr>
                <w:b/>
                <w:sz w:val="28"/>
                <w:szCs w:val="28"/>
                <w:lang w:val="uk-UA"/>
              </w:rPr>
              <w:t>39 489,0</w:t>
            </w:r>
          </w:p>
        </w:tc>
        <w:tc>
          <w:tcPr>
            <w:tcW w:w="0" w:type="auto"/>
            <w:vAlign w:val="center"/>
          </w:tcPr>
          <w:p w:rsidR="004C3953" w:rsidRPr="004C3953" w:rsidRDefault="004C3953" w:rsidP="004C3953">
            <w:pPr>
              <w:jc w:val="center"/>
              <w:rPr>
                <w:b/>
                <w:sz w:val="28"/>
                <w:szCs w:val="28"/>
                <w:lang w:val="uk-UA"/>
              </w:rPr>
            </w:pPr>
            <w:r w:rsidRPr="004C3953">
              <w:rPr>
                <w:b/>
                <w:sz w:val="28"/>
                <w:szCs w:val="28"/>
                <w:lang w:val="uk-UA"/>
              </w:rPr>
              <w:t>42 600,0</w:t>
            </w:r>
          </w:p>
        </w:tc>
        <w:tc>
          <w:tcPr>
            <w:tcW w:w="0" w:type="auto"/>
            <w:vAlign w:val="center"/>
          </w:tcPr>
          <w:p w:rsidR="004C3953" w:rsidRPr="004C3953" w:rsidRDefault="004C3953" w:rsidP="004C3953">
            <w:pPr>
              <w:jc w:val="center"/>
              <w:rPr>
                <w:b/>
                <w:sz w:val="28"/>
                <w:szCs w:val="28"/>
                <w:lang w:val="uk-UA"/>
              </w:rPr>
            </w:pPr>
            <w:r w:rsidRPr="004C3953">
              <w:rPr>
                <w:b/>
                <w:sz w:val="28"/>
                <w:szCs w:val="28"/>
                <w:lang w:val="uk-UA"/>
              </w:rPr>
              <w:t>40 461,9</w:t>
            </w:r>
          </w:p>
        </w:tc>
      </w:tr>
      <w:tr w:rsidR="004C3953" w:rsidRPr="004C3953" w:rsidTr="004C3953">
        <w:trPr>
          <w:trHeight w:val="20"/>
          <w:jc w:val="center"/>
        </w:trPr>
        <w:tc>
          <w:tcPr>
            <w:tcW w:w="0" w:type="auto"/>
            <w:vAlign w:val="center"/>
          </w:tcPr>
          <w:p w:rsidR="004C3953" w:rsidRPr="004C3953" w:rsidRDefault="004C3953" w:rsidP="004C3953">
            <w:pPr>
              <w:jc w:val="both"/>
              <w:rPr>
                <w:sz w:val="28"/>
                <w:szCs w:val="28"/>
                <w:lang w:val="uk-UA"/>
              </w:rPr>
            </w:pPr>
            <w:r w:rsidRPr="004C3953">
              <w:rPr>
                <w:sz w:val="28"/>
                <w:szCs w:val="28"/>
                <w:lang w:val="uk-UA"/>
              </w:rPr>
              <w:t>Єдиний податок з юридичних осіб</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2 899,0</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3 100,0</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3 243,0</w:t>
            </w:r>
          </w:p>
        </w:tc>
      </w:tr>
      <w:tr w:rsidR="004C3953" w:rsidRPr="004C3953" w:rsidTr="004C3953">
        <w:trPr>
          <w:trHeight w:val="20"/>
          <w:jc w:val="center"/>
        </w:trPr>
        <w:tc>
          <w:tcPr>
            <w:tcW w:w="0" w:type="auto"/>
            <w:vAlign w:val="center"/>
          </w:tcPr>
          <w:p w:rsidR="004C3953" w:rsidRPr="004C3953" w:rsidRDefault="004C3953" w:rsidP="004C3953">
            <w:pPr>
              <w:jc w:val="both"/>
              <w:rPr>
                <w:sz w:val="28"/>
                <w:szCs w:val="28"/>
                <w:lang w:val="uk-UA"/>
              </w:rPr>
            </w:pPr>
            <w:r w:rsidRPr="004C3953">
              <w:rPr>
                <w:sz w:val="28"/>
                <w:szCs w:val="28"/>
                <w:lang w:val="uk-UA"/>
              </w:rPr>
              <w:t>Єдиний податок з фізичних осіб</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34 893,0</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37 800,0</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35 868,9</w:t>
            </w:r>
          </w:p>
        </w:tc>
      </w:tr>
      <w:tr w:rsidR="004C3953" w:rsidRPr="004C3953" w:rsidTr="004C3953">
        <w:trPr>
          <w:trHeight w:val="20"/>
          <w:jc w:val="center"/>
        </w:trPr>
        <w:tc>
          <w:tcPr>
            <w:tcW w:w="0" w:type="auto"/>
            <w:vAlign w:val="center"/>
          </w:tcPr>
          <w:p w:rsidR="004C3953" w:rsidRPr="004C3953" w:rsidRDefault="004C3953" w:rsidP="004C3953">
            <w:pPr>
              <w:jc w:val="both"/>
              <w:rPr>
                <w:sz w:val="28"/>
                <w:szCs w:val="28"/>
                <w:lang w:val="uk-UA"/>
              </w:rPr>
            </w:pPr>
            <w:r w:rsidRPr="004C3953">
              <w:rPr>
                <w:sz w:val="28"/>
                <w:szCs w:val="28"/>
                <w:lang w:val="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1 697,0</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1 700,0</w:t>
            </w:r>
          </w:p>
        </w:tc>
        <w:tc>
          <w:tcPr>
            <w:tcW w:w="0" w:type="auto"/>
            <w:vAlign w:val="center"/>
          </w:tcPr>
          <w:p w:rsidR="004C3953" w:rsidRPr="004C3953" w:rsidRDefault="004C3953" w:rsidP="004C3953">
            <w:pPr>
              <w:jc w:val="center"/>
              <w:rPr>
                <w:sz w:val="28"/>
                <w:szCs w:val="28"/>
                <w:lang w:val="uk-UA"/>
              </w:rPr>
            </w:pPr>
            <w:r w:rsidRPr="004C3953">
              <w:rPr>
                <w:sz w:val="28"/>
                <w:szCs w:val="28"/>
                <w:lang w:val="uk-UA"/>
              </w:rPr>
              <w:t>1 350,0</w:t>
            </w:r>
          </w:p>
        </w:tc>
      </w:tr>
    </w:tbl>
    <w:p w:rsidR="004C3953" w:rsidRDefault="004C3953" w:rsidP="005318D9">
      <w:pPr>
        <w:spacing w:after="0" w:line="240" w:lineRule="auto"/>
        <w:ind w:firstLine="709"/>
        <w:jc w:val="both"/>
        <w:rPr>
          <w:rFonts w:ascii="Times New Roman" w:hAnsi="Times New Roman" w:cs="Times New Roman"/>
          <w:sz w:val="28"/>
          <w:szCs w:val="28"/>
        </w:rPr>
      </w:pPr>
    </w:p>
    <w:p w:rsidR="00F53ED3" w:rsidRDefault="00F53ED3" w:rsidP="00531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Рівень поінформованості платників єдиного податку з основними положеннями регуляторного акта – високий.</w:t>
      </w:r>
      <w:r w:rsidR="004C3953">
        <w:rPr>
          <w:rFonts w:ascii="Times New Roman" w:hAnsi="Times New Roman" w:cs="Times New Roman"/>
          <w:sz w:val="28"/>
          <w:szCs w:val="28"/>
        </w:rPr>
        <w:t xml:space="preserve"> Інформація про встановлення ставок єдиного податку розміщена на офіційному сайті Лисичанської міської військово-цивільної адміністрації за адресою: </w:t>
      </w:r>
      <w:hyperlink r:id="rId5" w:history="1">
        <w:r w:rsidR="004C3953" w:rsidRPr="00533DD9">
          <w:rPr>
            <w:rStyle w:val="a6"/>
            <w:rFonts w:ascii="Times New Roman" w:hAnsi="Times New Roman" w:cs="Times New Roman"/>
            <w:sz w:val="28"/>
            <w:szCs w:val="28"/>
          </w:rPr>
          <w:t>https://lis.gov.ua/mistsevi-podatki/26822-edinij-podatok.html</w:t>
        </w:r>
      </w:hyperlink>
      <w:r w:rsidR="004C3953">
        <w:rPr>
          <w:rFonts w:ascii="Times New Roman" w:hAnsi="Times New Roman" w:cs="Times New Roman"/>
          <w:sz w:val="28"/>
          <w:szCs w:val="28"/>
        </w:rPr>
        <w:t>.</w:t>
      </w:r>
    </w:p>
    <w:p w:rsidR="004C3953" w:rsidRDefault="004C3953" w:rsidP="005318D9">
      <w:pPr>
        <w:spacing w:after="0" w:line="240" w:lineRule="auto"/>
        <w:ind w:firstLine="709"/>
        <w:jc w:val="both"/>
        <w:rPr>
          <w:rFonts w:ascii="Times New Roman" w:hAnsi="Times New Roman" w:cs="Times New Roman"/>
          <w:sz w:val="28"/>
          <w:szCs w:val="28"/>
        </w:rPr>
      </w:pPr>
    </w:p>
    <w:p w:rsidR="00F53ED3" w:rsidRPr="004C3953" w:rsidRDefault="004C3953" w:rsidP="005318D9">
      <w:pPr>
        <w:spacing w:after="0" w:line="240" w:lineRule="auto"/>
        <w:ind w:firstLine="709"/>
        <w:jc w:val="both"/>
        <w:rPr>
          <w:rFonts w:ascii="Times New Roman" w:hAnsi="Times New Roman" w:cs="Times New Roman"/>
          <w:b/>
          <w:sz w:val="28"/>
          <w:szCs w:val="28"/>
        </w:rPr>
      </w:pPr>
      <w:r w:rsidRPr="004C3953">
        <w:rPr>
          <w:rFonts w:ascii="Times New Roman" w:hAnsi="Times New Roman" w:cs="Times New Roman"/>
          <w:b/>
          <w:sz w:val="28"/>
          <w:szCs w:val="28"/>
        </w:rPr>
        <w:t>9. Оцінка результативності реалізації регуляторного акта та ступеня досягнення цілей.</w:t>
      </w:r>
    </w:p>
    <w:p w:rsidR="00C5552C" w:rsidRPr="00C5552C" w:rsidRDefault="00C5552C" w:rsidP="00C555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Прийняття даного розпорядження керівника </w:t>
      </w:r>
      <w:r w:rsidRPr="00C5552C">
        <w:rPr>
          <w:rFonts w:ascii="Times New Roman" w:hAnsi="Times New Roman" w:cs="Times New Roman"/>
          <w:sz w:val="28"/>
          <w:szCs w:val="28"/>
        </w:rPr>
        <w:t>Лисичанська міська військово-цивільна адміністрація створює єдині та передбачувані умови ведення підприємницької діяльності на всій території громади, забезпечує прозорість та відкритість органів місцевого самоврядування. Крім того, це дозволить поповнити бюджет громади, що наддасть змогу спрямувати отримані кошти від сплати податку на фінансування місцевих програм сприяння розвитку малого підприємництва, на вирішення соціальних проблем територіальної громади та покращення інфраструктури громади.</w:t>
      </w:r>
    </w:p>
    <w:p w:rsidR="00C5552C" w:rsidRDefault="00C5552C" w:rsidP="00C5552C">
      <w:pPr>
        <w:spacing w:after="0" w:line="240" w:lineRule="auto"/>
        <w:jc w:val="both"/>
        <w:rPr>
          <w:rFonts w:ascii="Times New Roman" w:hAnsi="Times New Roman" w:cs="Times New Roman"/>
          <w:sz w:val="28"/>
          <w:szCs w:val="28"/>
        </w:rPr>
      </w:pPr>
    </w:p>
    <w:p w:rsidR="00C5552C" w:rsidRDefault="00C5552C" w:rsidP="00C5552C">
      <w:pPr>
        <w:spacing w:after="0" w:line="240" w:lineRule="auto"/>
        <w:jc w:val="both"/>
        <w:rPr>
          <w:rFonts w:ascii="Times New Roman" w:hAnsi="Times New Roman" w:cs="Times New Roman"/>
          <w:sz w:val="28"/>
          <w:szCs w:val="28"/>
        </w:rPr>
      </w:pPr>
    </w:p>
    <w:p w:rsidR="00C5552C" w:rsidRDefault="00C5552C" w:rsidP="00C5552C">
      <w:pPr>
        <w:spacing w:after="0" w:line="240" w:lineRule="auto"/>
        <w:jc w:val="both"/>
        <w:rPr>
          <w:rFonts w:ascii="Times New Roman" w:hAnsi="Times New Roman" w:cs="Times New Roman"/>
          <w:sz w:val="28"/>
          <w:szCs w:val="28"/>
        </w:rPr>
      </w:pPr>
    </w:p>
    <w:p w:rsidR="00C5552C" w:rsidRDefault="00C5552C" w:rsidP="00C5552C">
      <w:pPr>
        <w:spacing w:after="0" w:line="240" w:lineRule="auto"/>
        <w:jc w:val="both"/>
        <w:rPr>
          <w:rFonts w:ascii="Times New Roman" w:hAnsi="Times New Roman" w:cs="Times New Roman"/>
          <w:sz w:val="28"/>
          <w:szCs w:val="28"/>
        </w:rPr>
      </w:pPr>
    </w:p>
    <w:p w:rsidR="00C5552C" w:rsidRPr="00C5552C" w:rsidRDefault="00C5552C" w:rsidP="00C5552C">
      <w:pPr>
        <w:spacing w:after="0" w:line="240" w:lineRule="auto"/>
        <w:jc w:val="both"/>
        <w:rPr>
          <w:rFonts w:ascii="Times New Roman" w:hAnsi="Times New Roman" w:cs="Times New Roman"/>
          <w:b/>
          <w:sz w:val="28"/>
          <w:szCs w:val="28"/>
        </w:rPr>
      </w:pPr>
      <w:r w:rsidRPr="00C5552C">
        <w:rPr>
          <w:rFonts w:ascii="Times New Roman" w:hAnsi="Times New Roman" w:cs="Times New Roman"/>
          <w:b/>
          <w:sz w:val="28"/>
          <w:szCs w:val="28"/>
        </w:rPr>
        <w:t xml:space="preserve">Заступник керівника </w:t>
      </w:r>
    </w:p>
    <w:p w:rsidR="00C5552C" w:rsidRPr="00C5552C" w:rsidRDefault="00C5552C" w:rsidP="00C5552C">
      <w:pPr>
        <w:tabs>
          <w:tab w:val="left" w:pos="7655"/>
        </w:tabs>
        <w:spacing w:after="0" w:line="240" w:lineRule="auto"/>
        <w:jc w:val="both"/>
        <w:rPr>
          <w:rFonts w:ascii="Times New Roman" w:hAnsi="Times New Roman" w:cs="Times New Roman"/>
          <w:b/>
          <w:sz w:val="28"/>
          <w:szCs w:val="28"/>
        </w:rPr>
      </w:pPr>
      <w:r w:rsidRPr="00C5552C">
        <w:rPr>
          <w:rFonts w:ascii="Times New Roman" w:hAnsi="Times New Roman" w:cs="Times New Roman"/>
          <w:b/>
          <w:sz w:val="28"/>
          <w:szCs w:val="28"/>
        </w:rPr>
        <w:t>Лисичанської міської ВЦА</w:t>
      </w:r>
      <w:r w:rsidRPr="00C5552C">
        <w:rPr>
          <w:rFonts w:ascii="Times New Roman" w:hAnsi="Times New Roman" w:cs="Times New Roman"/>
          <w:b/>
          <w:sz w:val="28"/>
          <w:szCs w:val="28"/>
        </w:rPr>
        <w:tab/>
        <w:t>Олег КАЛІНІН</w:t>
      </w:r>
    </w:p>
    <w:p w:rsidR="00C5552C" w:rsidRDefault="00C5552C" w:rsidP="00C5552C">
      <w:pPr>
        <w:spacing w:after="0" w:line="240" w:lineRule="auto"/>
        <w:jc w:val="both"/>
        <w:rPr>
          <w:rFonts w:ascii="Times New Roman" w:hAnsi="Times New Roman" w:cs="Times New Roman"/>
          <w:b/>
          <w:sz w:val="28"/>
          <w:szCs w:val="28"/>
        </w:rPr>
      </w:pPr>
    </w:p>
    <w:p w:rsidR="00C5552C" w:rsidRPr="00C5552C" w:rsidRDefault="00C5552C" w:rsidP="00C5552C">
      <w:pPr>
        <w:spacing w:after="0" w:line="240" w:lineRule="auto"/>
        <w:jc w:val="both"/>
        <w:rPr>
          <w:rFonts w:ascii="Times New Roman" w:hAnsi="Times New Roman" w:cs="Times New Roman"/>
          <w:b/>
          <w:sz w:val="28"/>
          <w:szCs w:val="28"/>
        </w:rPr>
      </w:pPr>
    </w:p>
    <w:p w:rsidR="00C5552C" w:rsidRPr="00C5552C" w:rsidRDefault="00C5552C" w:rsidP="00C5552C">
      <w:pPr>
        <w:spacing w:after="0" w:line="240" w:lineRule="auto"/>
        <w:jc w:val="both"/>
        <w:rPr>
          <w:rFonts w:ascii="Times New Roman" w:hAnsi="Times New Roman" w:cs="Times New Roman"/>
          <w:b/>
          <w:sz w:val="28"/>
          <w:szCs w:val="28"/>
        </w:rPr>
      </w:pPr>
      <w:r w:rsidRPr="00C5552C">
        <w:rPr>
          <w:rFonts w:ascii="Times New Roman" w:hAnsi="Times New Roman" w:cs="Times New Roman"/>
          <w:b/>
          <w:sz w:val="28"/>
          <w:szCs w:val="28"/>
        </w:rPr>
        <w:t>Начальник відділу економіки</w:t>
      </w:r>
    </w:p>
    <w:p w:rsidR="00C5552C" w:rsidRPr="00C5552C" w:rsidRDefault="00C5552C" w:rsidP="00C5552C">
      <w:pPr>
        <w:tabs>
          <w:tab w:val="left" w:pos="6521"/>
        </w:tabs>
        <w:spacing w:after="0" w:line="240" w:lineRule="auto"/>
        <w:jc w:val="both"/>
        <w:rPr>
          <w:rFonts w:ascii="Times New Roman" w:hAnsi="Times New Roman" w:cs="Times New Roman"/>
          <w:b/>
          <w:sz w:val="28"/>
          <w:szCs w:val="28"/>
        </w:rPr>
      </w:pPr>
      <w:r w:rsidRPr="00C5552C">
        <w:rPr>
          <w:rFonts w:ascii="Times New Roman" w:hAnsi="Times New Roman" w:cs="Times New Roman"/>
          <w:b/>
          <w:sz w:val="28"/>
          <w:szCs w:val="28"/>
        </w:rPr>
        <w:t>Лисичанської міської ВЦА</w:t>
      </w:r>
      <w:r w:rsidRPr="00C5552C">
        <w:rPr>
          <w:rFonts w:ascii="Times New Roman" w:hAnsi="Times New Roman" w:cs="Times New Roman"/>
          <w:b/>
          <w:sz w:val="28"/>
          <w:szCs w:val="28"/>
        </w:rPr>
        <w:tab/>
        <w:t>Олександр МОРДАСОВ</w:t>
      </w:r>
    </w:p>
    <w:sectPr w:rsidR="00C5552C" w:rsidRPr="00C5552C" w:rsidSect="00537D4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46"/>
    <w:rsid w:val="00151A1B"/>
    <w:rsid w:val="004C3953"/>
    <w:rsid w:val="005318D9"/>
    <w:rsid w:val="00537D46"/>
    <w:rsid w:val="00756881"/>
    <w:rsid w:val="00823EA0"/>
    <w:rsid w:val="00C5552C"/>
    <w:rsid w:val="00D14FCA"/>
    <w:rsid w:val="00E8684B"/>
    <w:rsid w:val="00F53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D46"/>
    <w:pPr>
      <w:ind w:left="720"/>
      <w:contextualSpacing/>
    </w:pPr>
  </w:style>
  <w:style w:type="paragraph" w:styleId="a4">
    <w:name w:val="Body Text"/>
    <w:basedOn w:val="a"/>
    <w:link w:val="a5"/>
    <w:rsid w:val="00E8684B"/>
    <w:pPr>
      <w:spacing w:after="120" w:line="240" w:lineRule="auto"/>
    </w:pPr>
    <w:rPr>
      <w:rFonts w:ascii="Times New Roman" w:eastAsia="SimSun" w:hAnsi="Times New Roman" w:cs="Times New Roman"/>
      <w:sz w:val="28"/>
      <w:szCs w:val="28"/>
      <w:lang w:eastAsia="uk-UA"/>
    </w:rPr>
  </w:style>
  <w:style w:type="character" w:customStyle="1" w:styleId="a5">
    <w:name w:val="Основной текст Знак"/>
    <w:basedOn w:val="a0"/>
    <w:link w:val="a4"/>
    <w:rsid w:val="00E8684B"/>
    <w:rPr>
      <w:rFonts w:ascii="Times New Roman" w:eastAsia="SimSun" w:hAnsi="Times New Roman" w:cs="Times New Roman"/>
      <w:sz w:val="28"/>
      <w:szCs w:val="28"/>
      <w:lang w:eastAsia="uk-UA"/>
    </w:rPr>
  </w:style>
  <w:style w:type="character" w:styleId="a6">
    <w:name w:val="Hyperlink"/>
    <w:basedOn w:val="a0"/>
    <w:uiPriority w:val="99"/>
    <w:unhideWhenUsed/>
    <w:rsid w:val="004C3953"/>
    <w:rPr>
      <w:color w:val="0000FF" w:themeColor="hyperlink"/>
      <w:u w:val="single"/>
    </w:rPr>
  </w:style>
  <w:style w:type="table" w:styleId="a7">
    <w:name w:val="Table Grid"/>
    <w:basedOn w:val="a1"/>
    <w:rsid w:val="004C395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D46"/>
    <w:pPr>
      <w:ind w:left="720"/>
      <w:contextualSpacing/>
    </w:pPr>
  </w:style>
  <w:style w:type="paragraph" w:styleId="a4">
    <w:name w:val="Body Text"/>
    <w:basedOn w:val="a"/>
    <w:link w:val="a5"/>
    <w:rsid w:val="00E8684B"/>
    <w:pPr>
      <w:spacing w:after="120" w:line="240" w:lineRule="auto"/>
    </w:pPr>
    <w:rPr>
      <w:rFonts w:ascii="Times New Roman" w:eastAsia="SimSun" w:hAnsi="Times New Roman" w:cs="Times New Roman"/>
      <w:sz w:val="28"/>
      <w:szCs w:val="28"/>
      <w:lang w:eastAsia="uk-UA"/>
    </w:rPr>
  </w:style>
  <w:style w:type="character" w:customStyle="1" w:styleId="a5">
    <w:name w:val="Основной текст Знак"/>
    <w:basedOn w:val="a0"/>
    <w:link w:val="a4"/>
    <w:rsid w:val="00E8684B"/>
    <w:rPr>
      <w:rFonts w:ascii="Times New Roman" w:eastAsia="SimSun" w:hAnsi="Times New Roman" w:cs="Times New Roman"/>
      <w:sz w:val="28"/>
      <w:szCs w:val="28"/>
      <w:lang w:eastAsia="uk-UA"/>
    </w:rPr>
  </w:style>
  <w:style w:type="character" w:styleId="a6">
    <w:name w:val="Hyperlink"/>
    <w:basedOn w:val="a0"/>
    <w:uiPriority w:val="99"/>
    <w:unhideWhenUsed/>
    <w:rsid w:val="004C3953"/>
    <w:rPr>
      <w:color w:val="0000FF" w:themeColor="hyperlink"/>
      <w:u w:val="single"/>
    </w:rPr>
  </w:style>
  <w:style w:type="table" w:styleId="a7">
    <w:name w:val="Table Grid"/>
    <w:basedOn w:val="a1"/>
    <w:rsid w:val="004C395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s.gov.ua/mistsevi-podatki/26822-edinij-podat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2442</Words>
  <Characters>1393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2</cp:revision>
  <dcterms:created xsi:type="dcterms:W3CDTF">2021-12-28T06:22:00Z</dcterms:created>
  <dcterms:modified xsi:type="dcterms:W3CDTF">2021-12-28T06:22:00Z</dcterms:modified>
</cp:coreProperties>
</file>