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A0" w:rsidRPr="005545D9" w:rsidRDefault="00537D46" w:rsidP="00537D46">
      <w:pPr>
        <w:spacing w:after="0" w:line="240" w:lineRule="auto"/>
        <w:jc w:val="center"/>
        <w:rPr>
          <w:rFonts w:ascii="Times New Roman" w:hAnsi="Times New Roman" w:cs="Times New Roman"/>
          <w:b/>
          <w:sz w:val="26"/>
          <w:szCs w:val="26"/>
        </w:rPr>
      </w:pPr>
      <w:r w:rsidRPr="005545D9">
        <w:rPr>
          <w:rFonts w:ascii="Times New Roman" w:hAnsi="Times New Roman" w:cs="Times New Roman"/>
          <w:b/>
          <w:sz w:val="26"/>
          <w:szCs w:val="26"/>
        </w:rPr>
        <w:t>ЗВІТ</w:t>
      </w:r>
    </w:p>
    <w:p w:rsidR="00537D46" w:rsidRPr="005545D9" w:rsidRDefault="00537D46" w:rsidP="00537D46">
      <w:pPr>
        <w:spacing w:after="0" w:line="240" w:lineRule="auto"/>
        <w:jc w:val="center"/>
        <w:rPr>
          <w:rFonts w:ascii="Times New Roman" w:hAnsi="Times New Roman" w:cs="Times New Roman"/>
          <w:b/>
          <w:sz w:val="26"/>
          <w:szCs w:val="26"/>
        </w:rPr>
      </w:pPr>
      <w:r w:rsidRPr="005545D9">
        <w:rPr>
          <w:rFonts w:ascii="Times New Roman" w:hAnsi="Times New Roman" w:cs="Times New Roman"/>
          <w:b/>
          <w:sz w:val="26"/>
          <w:szCs w:val="26"/>
        </w:rPr>
        <w:t xml:space="preserve">про базове відстеження результативності регуляторного </w:t>
      </w:r>
      <w:proofErr w:type="spellStart"/>
      <w:r w:rsidRPr="005545D9">
        <w:rPr>
          <w:rFonts w:ascii="Times New Roman" w:hAnsi="Times New Roman" w:cs="Times New Roman"/>
          <w:b/>
          <w:sz w:val="26"/>
          <w:szCs w:val="26"/>
        </w:rPr>
        <w:t>акта</w:t>
      </w:r>
      <w:proofErr w:type="spellEnd"/>
      <w:r w:rsidRPr="005545D9">
        <w:rPr>
          <w:rFonts w:ascii="Times New Roman" w:hAnsi="Times New Roman" w:cs="Times New Roman"/>
          <w:b/>
          <w:sz w:val="26"/>
          <w:szCs w:val="26"/>
        </w:rPr>
        <w:t xml:space="preserve"> – розпорядження керівника Лисичанської міської військово-цивільної адміністрації «Про встановлення ставок </w:t>
      </w:r>
      <w:r w:rsidR="001B7B1E" w:rsidRPr="005545D9">
        <w:rPr>
          <w:rFonts w:ascii="Times New Roman" w:hAnsi="Times New Roman" w:cs="Times New Roman"/>
          <w:b/>
          <w:sz w:val="26"/>
          <w:szCs w:val="26"/>
        </w:rPr>
        <w:t>та пільг зі сплати податку на нерухоме майно, відмінне від земельної ділянки</w:t>
      </w:r>
      <w:r w:rsidRPr="005545D9">
        <w:rPr>
          <w:rFonts w:ascii="Times New Roman" w:hAnsi="Times New Roman" w:cs="Times New Roman"/>
          <w:b/>
          <w:sz w:val="26"/>
          <w:szCs w:val="26"/>
        </w:rPr>
        <w:t>»</w:t>
      </w:r>
    </w:p>
    <w:p w:rsidR="00537D46" w:rsidRPr="005545D9" w:rsidRDefault="00537D46" w:rsidP="00537D46">
      <w:pPr>
        <w:spacing w:after="0" w:line="240" w:lineRule="auto"/>
        <w:jc w:val="both"/>
        <w:rPr>
          <w:rFonts w:ascii="Times New Roman" w:hAnsi="Times New Roman" w:cs="Times New Roman"/>
          <w:sz w:val="26"/>
          <w:szCs w:val="26"/>
        </w:rPr>
      </w:pPr>
    </w:p>
    <w:p w:rsidR="00537D46" w:rsidRPr="005545D9" w:rsidRDefault="00537D46" w:rsidP="00537D46">
      <w:pPr>
        <w:spacing w:after="0" w:line="240" w:lineRule="auto"/>
        <w:ind w:left="7088"/>
        <w:jc w:val="both"/>
        <w:rPr>
          <w:rFonts w:ascii="Times New Roman" w:hAnsi="Times New Roman" w:cs="Times New Roman"/>
          <w:sz w:val="26"/>
          <w:szCs w:val="26"/>
        </w:rPr>
      </w:pPr>
      <w:r w:rsidRPr="005545D9">
        <w:rPr>
          <w:rFonts w:ascii="Times New Roman" w:hAnsi="Times New Roman" w:cs="Times New Roman"/>
          <w:sz w:val="26"/>
          <w:szCs w:val="26"/>
        </w:rPr>
        <w:t>24 грудня 2021 року</w:t>
      </w:r>
    </w:p>
    <w:p w:rsidR="00537D46" w:rsidRPr="005545D9" w:rsidRDefault="00537D46" w:rsidP="00537D46">
      <w:pPr>
        <w:spacing w:after="0" w:line="240" w:lineRule="auto"/>
        <w:jc w:val="center"/>
        <w:rPr>
          <w:rFonts w:ascii="Times New Roman" w:hAnsi="Times New Roman" w:cs="Times New Roman"/>
          <w:sz w:val="26"/>
          <w:szCs w:val="26"/>
        </w:rPr>
      </w:pPr>
    </w:p>
    <w:p w:rsidR="00537D46" w:rsidRPr="005545D9" w:rsidRDefault="00537D46" w:rsidP="005318D9">
      <w:pPr>
        <w:spacing w:after="0" w:line="240" w:lineRule="auto"/>
        <w:ind w:firstLine="709"/>
        <w:jc w:val="both"/>
        <w:rPr>
          <w:rFonts w:ascii="Times New Roman" w:hAnsi="Times New Roman" w:cs="Times New Roman"/>
          <w:b/>
          <w:sz w:val="26"/>
          <w:szCs w:val="26"/>
        </w:rPr>
      </w:pPr>
      <w:r w:rsidRPr="005545D9">
        <w:rPr>
          <w:rFonts w:ascii="Times New Roman" w:hAnsi="Times New Roman" w:cs="Times New Roman"/>
          <w:b/>
          <w:sz w:val="26"/>
          <w:szCs w:val="26"/>
        </w:rPr>
        <w:t xml:space="preserve">1. Вид та назва регуляторного </w:t>
      </w:r>
      <w:proofErr w:type="spellStart"/>
      <w:r w:rsidRPr="005545D9">
        <w:rPr>
          <w:rFonts w:ascii="Times New Roman" w:hAnsi="Times New Roman" w:cs="Times New Roman"/>
          <w:b/>
          <w:sz w:val="26"/>
          <w:szCs w:val="26"/>
        </w:rPr>
        <w:t>акта</w:t>
      </w:r>
      <w:proofErr w:type="spellEnd"/>
    </w:p>
    <w:p w:rsidR="001B7B1E" w:rsidRPr="005545D9" w:rsidRDefault="00537D46" w:rsidP="005545D9">
      <w:pPr>
        <w:spacing w:after="0" w:line="240" w:lineRule="auto"/>
        <w:jc w:val="both"/>
        <w:rPr>
          <w:rFonts w:ascii="Times New Roman" w:hAnsi="Times New Roman" w:cs="Times New Roman"/>
          <w:b/>
          <w:sz w:val="26"/>
          <w:szCs w:val="26"/>
        </w:rPr>
      </w:pPr>
      <w:r w:rsidRPr="005545D9">
        <w:rPr>
          <w:rFonts w:ascii="Times New Roman" w:hAnsi="Times New Roman" w:cs="Times New Roman"/>
          <w:sz w:val="26"/>
          <w:szCs w:val="26"/>
        </w:rPr>
        <w:t>Розпорядження керівника Лисичанської міської військово-цивільної адміністрації від 30.06.2021 № 61</w:t>
      </w:r>
      <w:r w:rsidR="001B7B1E" w:rsidRPr="005545D9">
        <w:rPr>
          <w:rFonts w:ascii="Times New Roman" w:hAnsi="Times New Roman" w:cs="Times New Roman"/>
          <w:sz w:val="26"/>
          <w:szCs w:val="26"/>
        </w:rPr>
        <w:t>9</w:t>
      </w:r>
      <w:r w:rsidRPr="005545D9">
        <w:rPr>
          <w:rFonts w:ascii="Times New Roman" w:hAnsi="Times New Roman" w:cs="Times New Roman"/>
          <w:sz w:val="26"/>
          <w:szCs w:val="26"/>
        </w:rPr>
        <w:t xml:space="preserve"> </w:t>
      </w:r>
      <w:r w:rsidR="001B7B1E" w:rsidRPr="005545D9">
        <w:rPr>
          <w:rFonts w:ascii="Times New Roman" w:hAnsi="Times New Roman" w:cs="Times New Roman"/>
          <w:b/>
          <w:sz w:val="26"/>
          <w:szCs w:val="26"/>
        </w:rPr>
        <w:t>«</w:t>
      </w:r>
      <w:r w:rsidR="001B7B1E" w:rsidRPr="005545D9">
        <w:rPr>
          <w:rFonts w:ascii="Times New Roman" w:hAnsi="Times New Roman" w:cs="Times New Roman"/>
          <w:sz w:val="26"/>
          <w:szCs w:val="26"/>
        </w:rPr>
        <w:t>Про встановлення ставок та пільг зі сплати податку на нерухоме майно, відмінне від земельної ділянки»</w:t>
      </w:r>
    </w:p>
    <w:p w:rsidR="00537D46" w:rsidRPr="005545D9" w:rsidRDefault="00537D46" w:rsidP="005318D9">
      <w:pPr>
        <w:spacing w:after="0" w:line="240" w:lineRule="auto"/>
        <w:ind w:firstLine="709"/>
        <w:jc w:val="both"/>
        <w:rPr>
          <w:rFonts w:ascii="Times New Roman" w:hAnsi="Times New Roman" w:cs="Times New Roman"/>
          <w:sz w:val="26"/>
          <w:szCs w:val="26"/>
        </w:rPr>
      </w:pPr>
    </w:p>
    <w:p w:rsidR="00537D46" w:rsidRPr="005545D9" w:rsidRDefault="00537D46" w:rsidP="005318D9">
      <w:pPr>
        <w:spacing w:after="0" w:line="240" w:lineRule="auto"/>
        <w:ind w:firstLine="709"/>
        <w:jc w:val="both"/>
        <w:rPr>
          <w:rFonts w:ascii="Times New Roman" w:hAnsi="Times New Roman" w:cs="Times New Roman"/>
          <w:b/>
          <w:sz w:val="26"/>
          <w:szCs w:val="26"/>
        </w:rPr>
      </w:pPr>
      <w:r w:rsidRPr="005545D9">
        <w:rPr>
          <w:rFonts w:ascii="Times New Roman" w:hAnsi="Times New Roman" w:cs="Times New Roman"/>
          <w:b/>
          <w:sz w:val="26"/>
          <w:szCs w:val="26"/>
        </w:rPr>
        <w:t>2. Назва виконавця заходів з відстеження результативності</w:t>
      </w:r>
    </w:p>
    <w:p w:rsidR="00537D46" w:rsidRPr="005545D9" w:rsidRDefault="00537D46" w:rsidP="005318D9">
      <w:pPr>
        <w:spacing w:after="0" w:line="240" w:lineRule="auto"/>
        <w:ind w:firstLine="709"/>
        <w:jc w:val="both"/>
        <w:rPr>
          <w:rFonts w:ascii="Times New Roman" w:hAnsi="Times New Roman" w:cs="Times New Roman"/>
          <w:sz w:val="26"/>
          <w:szCs w:val="26"/>
        </w:rPr>
      </w:pPr>
      <w:r w:rsidRPr="005545D9">
        <w:rPr>
          <w:rFonts w:ascii="Times New Roman" w:hAnsi="Times New Roman" w:cs="Times New Roman"/>
          <w:sz w:val="26"/>
          <w:szCs w:val="26"/>
        </w:rPr>
        <w:t>Відділ економіки Лисичанської міської військово-цивільної адміністрації</w:t>
      </w:r>
    </w:p>
    <w:p w:rsidR="00537D46" w:rsidRPr="005545D9" w:rsidRDefault="00537D46" w:rsidP="005318D9">
      <w:pPr>
        <w:spacing w:after="0" w:line="240" w:lineRule="auto"/>
        <w:ind w:firstLine="709"/>
        <w:jc w:val="both"/>
        <w:rPr>
          <w:rFonts w:ascii="Times New Roman" w:hAnsi="Times New Roman" w:cs="Times New Roman"/>
          <w:sz w:val="26"/>
          <w:szCs w:val="26"/>
        </w:rPr>
      </w:pPr>
    </w:p>
    <w:p w:rsidR="00537D46" w:rsidRPr="005545D9" w:rsidRDefault="00E8684B" w:rsidP="005318D9">
      <w:pPr>
        <w:spacing w:after="0" w:line="240" w:lineRule="auto"/>
        <w:ind w:firstLine="709"/>
        <w:jc w:val="both"/>
        <w:rPr>
          <w:rFonts w:ascii="Times New Roman" w:hAnsi="Times New Roman" w:cs="Times New Roman"/>
          <w:b/>
          <w:sz w:val="26"/>
          <w:szCs w:val="26"/>
        </w:rPr>
      </w:pPr>
      <w:r w:rsidRPr="005545D9">
        <w:rPr>
          <w:rFonts w:ascii="Times New Roman" w:hAnsi="Times New Roman" w:cs="Times New Roman"/>
          <w:b/>
          <w:sz w:val="26"/>
          <w:szCs w:val="26"/>
        </w:rPr>
        <w:t xml:space="preserve">3. Цілі прийняття </w:t>
      </w:r>
      <w:proofErr w:type="spellStart"/>
      <w:r w:rsidRPr="005545D9">
        <w:rPr>
          <w:rFonts w:ascii="Times New Roman" w:hAnsi="Times New Roman" w:cs="Times New Roman"/>
          <w:b/>
          <w:sz w:val="26"/>
          <w:szCs w:val="26"/>
        </w:rPr>
        <w:t>акта</w:t>
      </w:r>
      <w:proofErr w:type="spellEnd"/>
    </w:p>
    <w:p w:rsidR="001B7B1E" w:rsidRPr="005545D9" w:rsidRDefault="005545D9" w:rsidP="001B7B1E">
      <w:pPr>
        <w:spacing w:after="0" w:line="240" w:lineRule="auto"/>
        <w:ind w:firstLine="697"/>
        <w:jc w:val="both"/>
        <w:rPr>
          <w:rFonts w:ascii="Times New Roman" w:eastAsia="Calibri" w:hAnsi="Times New Roman" w:cs="Times New Roman"/>
          <w:color w:val="000000"/>
          <w:sz w:val="26"/>
          <w:szCs w:val="26"/>
          <w:lang w:eastAsia="uk-UA"/>
        </w:rPr>
      </w:pPr>
      <w:r w:rsidRPr="005545D9">
        <w:rPr>
          <w:rFonts w:ascii="Times New Roman" w:eastAsia="Calibri" w:hAnsi="Times New Roman" w:cs="Times New Roman"/>
          <w:color w:val="000000"/>
          <w:sz w:val="26"/>
          <w:szCs w:val="26"/>
          <w:lang w:eastAsia="uk-UA"/>
        </w:rPr>
        <w:t>в</w:t>
      </w:r>
      <w:r w:rsidR="001B7B1E" w:rsidRPr="005545D9">
        <w:rPr>
          <w:rFonts w:ascii="Times New Roman" w:eastAsia="Calibri" w:hAnsi="Times New Roman" w:cs="Times New Roman"/>
          <w:color w:val="000000"/>
          <w:sz w:val="26"/>
          <w:szCs w:val="26"/>
          <w:lang w:eastAsia="uk-UA"/>
        </w:rPr>
        <w:t>станов</w:t>
      </w:r>
      <w:r w:rsidRPr="005545D9">
        <w:rPr>
          <w:rFonts w:ascii="Times New Roman" w:eastAsia="Calibri" w:hAnsi="Times New Roman" w:cs="Times New Roman"/>
          <w:color w:val="000000"/>
          <w:sz w:val="26"/>
          <w:szCs w:val="26"/>
          <w:lang w:eastAsia="uk-UA"/>
        </w:rPr>
        <w:t>ити доцільні</w:t>
      </w:r>
      <w:r w:rsidR="001B7B1E" w:rsidRPr="005545D9">
        <w:rPr>
          <w:rFonts w:ascii="Times New Roman" w:eastAsia="Calibri" w:hAnsi="Times New Roman" w:cs="Times New Roman"/>
          <w:color w:val="000000"/>
          <w:sz w:val="26"/>
          <w:szCs w:val="26"/>
          <w:lang w:eastAsia="uk-UA"/>
        </w:rPr>
        <w:t xml:space="preserve"> і обґрунтован</w:t>
      </w:r>
      <w:r w:rsidRPr="005545D9">
        <w:rPr>
          <w:rFonts w:ascii="Times New Roman" w:eastAsia="Calibri" w:hAnsi="Times New Roman" w:cs="Times New Roman"/>
          <w:color w:val="000000"/>
          <w:sz w:val="26"/>
          <w:szCs w:val="26"/>
          <w:lang w:eastAsia="uk-UA"/>
        </w:rPr>
        <w:t>і</w:t>
      </w:r>
      <w:r w:rsidR="001B7B1E" w:rsidRPr="005545D9">
        <w:rPr>
          <w:rFonts w:ascii="Times New Roman" w:eastAsia="Calibri" w:hAnsi="Times New Roman" w:cs="Times New Roman"/>
          <w:color w:val="000000"/>
          <w:sz w:val="26"/>
          <w:szCs w:val="26"/>
          <w:lang w:eastAsia="uk-UA"/>
        </w:rPr>
        <w:t xml:space="preserve"> розмір</w:t>
      </w:r>
      <w:r w:rsidRPr="005545D9">
        <w:rPr>
          <w:rFonts w:ascii="Times New Roman" w:eastAsia="Calibri" w:hAnsi="Times New Roman" w:cs="Times New Roman"/>
          <w:color w:val="000000"/>
          <w:sz w:val="26"/>
          <w:szCs w:val="26"/>
          <w:lang w:eastAsia="uk-UA"/>
        </w:rPr>
        <w:t>и</w:t>
      </w:r>
      <w:r w:rsidR="001B7B1E" w:rsidRPr="005545D9">
        <w:rPr>
          <w:rFonts w:ascii="Times New Roman" w:eastAsia="Calibri" w:hAnsi="Times New Roman" w:cs="Times New Roman"/>
          <w:color w:val="000000"/>
          <w:sz w:val="26"/>
          <w:szCs w:val="26"/>
          <w:lang w:eastAsia="uk-UA"/>
        </w:rPr>
        <w:t xml:space="preserve"> ставок податку на нерухоме майно відмінне від земельної ділянки з урахуванням рівня платоспроможності громадян та суб’єктів господарювання однакові на всій територій Лисичанської міської територіальної громади;</w:t>
      </w:r>
    </w:p>
    <w:p w:rsidR="001B7B1E" w:rsidRPr="005545D9" w:rsidRDefault="001B7B1E" w:rsidP="001B7B1E">
      <w:pPr>
        <w:spacing w:after="0" w:line="240" w:lineRule="auto"/>
        <w:ind w:firstLine="697"/>
        <w:jc w:val="both"/>
        <w:rPr>
          <w:rFonts w:ascii="Times New Roman" w:eastAsia="Calibri" w:hAnsi="Times New Roman" w:cs="Times New Roman"/>
          <w:color w:val="000000"/>
          <w:sz w:val="26"/>
          <w:szCs w:val="26"/>
          <w:lang w:eastAsia="uk-UA"/>
        </w:rPr>
      </w:pPr>
      <w:r w:rsidRPr="005545D9">
        <w:rPr>
          <w:rFonts w:ascii="Times New Roman" w:eastAsia="Calibri" w:hAnsi="Times New Roman" w:cs="Times New Roman"/>
          <w:color w:val="000000"/>
          <w:sz w:val="26"/>
          <w:szCs w:val="26"/>
          <w:lang w:eastAsia="uk-UA"/>
        </w:rPr>
        <w:t>вирівняти надходження від сплати податку від юридичних та фізичних осіб;</w:t>
      </w:r>
    </w:p>
    <w:p w:rsidR="001B7B1E" w:rsidRPr="005545D9" w:rsidRDefault="001B7B1E" w:rsidP="001B7B1E">
      <w:pPr>
        <w:spacing w:after="0" w:line="240" w:lineRule="auto"/>
        <w:ind w:firstLine="697"/>
        <w:jc w:val="both"/>
        <w:rPr>
          <w:rFonts w:ascii="Times New Roman" w:eastAsia="Calibri" w:hAnsi="Times New Roman" w:cs="Times New Roman"/>
          <w:color w:val="000000"/>
          <w:sz w:val="26"/>
          <w:szCs w:val="26"/>
          <w:lang w:eastAsia="uk-UA"/>
        </w:rPr>
      </w:pPr>
      <w:r w:rsidRPr="005545D9">
        <w:rPr>
          <w:rFonts w:ascii="Times New Roman" w:eastAsia="Calibri" w:hAnsi="Times New Roman" w:cs="Times New Roman"/>
          <w:color w:val="000000"/>
          <w:sz w:val="26"/>
          <w:szCs w:val="26"/>
          <w:lang w:eastAsia="uk-UA"/>
        </w:rPr>
        <w:t>забезпечити додаткові надходження до бюджету, з метою забезпечення фінансування міських цільових програм;</w:t>
      </w:r>
    </w:p>
    <w:p w:rsidR="001B7B1E" w:rsidRPr="005545D9" w:rsidRDefault="001B7B1E" w:rsidP="001B7B1E">
      <w:pPr>
        <w:spacing w:after="0" w:line="240" w:lineRule="auto"/>
        <w:ind w:firstLine="697"/>
        <w:jc w:val="both"/>
        <w:rPr>
          <w:rFonts w:ascii="Times New Roman" w:eastAsia="Calibri" w:hAnsi="Times New Roman" w:cs="Times New Roman"/>
          <w:color w:val="000000"/>
          <w:sz w:val="26"/>
          <w:szCs w:val="26"/>
          <w:lang w:eastAsia="uk-UA"/>
        </w:rPr>
      </w:pPr>
      <w:r w:rsidRPr="005545D9">
        <w:rPr>
          <w:rFonts w:ascii="Times New Roman" w:eastAsia="Calibri" w:hAnsi="Times New Roman" w:cs="Times New Roman"/>
          <w:color w:val="000000"/>
          <w:sz w:val="26"/>
          <w:szCs w:val="26"/>
          <w:lang w:eastAsia="uk-UA"/>
        </w:rPr>
        <w:t>виконання вимог чинного законодавства.</w:t>
      </w:r>
    </w:p>
    <w:p w:rsidR="001B7B1E" w:rsidRPr="005545D9" w:rsidRDefault="001B7B1E" w:rsidP="005318D9">
      <w:pPr>
        <w:spacing w:after="0" w:line="240" w:lineRule="auto"/>
        <w:ind w:firstLine="709"/>
        <w:jc w:val="both"/>
        <w:rPr>
          <w:rFonts w:ascii="Times New Roman" w:hAnsi="Times New Roman" w:cs="Times New Roman"/>
          <w:b/>
          <w:sz w:val="26"/>
          <w:szCs w:val="26"/>
        </w:rPr>
      </w:pPr>
    </w:p>
    <w:p w:rsidR="00E8684B" w:rsidRPr="005545D9" w:rsidRDefault="00E8684B" w:rsidP="005318D9">
      <w:pPr>
        <w:spacing w:after="0" w:line="240" w:lineRule="auto"/>
        <w:ind w:firstLine="709"/>
        <w:jc w:val="both"/>
        <w:rPr>
          <w:rFonts w:ascii="Times New Roman" w:hAnsi="Times New Roman" w:cs="Times New Roman"/>
          <w:sz w:val="26"/>
          <w:szCs w:val="26"/>
        </w:rPr>
      </w:pPr>
      <w:r w:rsidRPr="005545D9">
        <w:rPr>
          <w:rFonts w:ascii="Times New Roman" w:hAnsi="Times New Roman" w:cs="Times New Roman"/>
          <w:b/>
          <w:sz w:val="26"/>
          <w:szCs w:val="26"/>
        </w:rPr>
        <w:t>4. Строк виконання заходів з відстеження</w:t>
      </w:r>
      <w:r w:rsidR="00C5552C" w:rsidRPr="005545D9">
        <w:rPr>
          <w:rFonts w:ascii="Times New Roman" w:hAnsi="Times New Roman" w:cs="Times New Roman"/>
          <w:b/>
          <w:sz w:val="26"/>
          <w:szCs w:val="26"/>
        </w:rPr>
        <w:t xml:space="preserve"> – </w:t>
      </w:r>
      <w:r w:rsidR="00C5552C" w:rsidRPr="005545D9">
        <w:rPr>
          <w:rFonts w:ascii="Times New Roman" w:hAnsi="Times New Roman" w:cs="Times New Roman"/>
          <w:sz w:val="26"/>
          <w:szCs w:val="26"/>
        </w:rPr>
        <w:t xml:space="preserve">з </w:t>
      </w:r>
      <w:r w:rsidRPr="005545D9">
        <w:rPr>
          <w:rFonts w:ascii="Times New Roman" w:hAnsi="Times New Roman" w:cs="Times New Roman"/>
          <w:sz w:val="26"/>
          <w:szCs w:val="26"/>
        </w:rPr>
        <w:t>20.12.2021 по 23.12.2021 р</w:t>
      </w:r>
      <w:r w:rsidR="00C5552C" w:rsidRPr="005545D9">
        <w:rPr>
          <w:rFonts w:ascii="Times New Roman" w:hAnsi="Times New Roman" w:cs="Times New Roman"/>
          <w:sz w:val="26"/>
          <w:szCs w:val="26"/>
        </w:rPr>
        <w:t>.</w:t>
      </w:r>
    </w:p>
    <w:p w:rsidR="00E8684B" w:rsidRPr="005545D9" w:rsidRDefault="00E8684B" w:rsidP="005318D9">
      <w:pPr>
        <w:spacing w:after="0" w:line="240" w:lineRule="auto"/>
        <w:ind w:firstLine="709"/>
        <w:jc w:val="both"/>
        <w:rPr>
          <w:rFonts w:ascii="Times New Roman" w:hAnsi="Times New Roman" w:cs="Times New Roman"/>
          <w:sz w:val="26"/>
          <w:szCs w:val="26"/>
        </w:rPr>
      </w:pPr>
    </w:p>
    <w:p w:rsidR="00E8684B" w:rsidRPr="005545D9" w:rsidRDefault="00E8684B" w:rsidP="005318D9">
      <w:pPr>
        <w:spacing w:after="0" w:line="240" w:lineRule="auto"/>
        <w:ind w:firstLine="709"/>
        <w:jc w:val="both"/>
        <w:rPr>
          <w:rFonts w:ascii="Times New Roman" w:hAnsi="Times New Roman" w:cs="Times New Roman"/>
          <w:sz w:val="26"/>
          <w:szCs w:val="26"/>
        </w:rPr>
      </w:pPr>
      <w:r w:rsidRPr="005545D9">
        <w:rPr>
          <w:rFonts w:ascii="Times New Roman" w:hAnsi="Times New Roman" w:cs="Times New Roman"/>
          <w:b/>
          <w:sz w:val="26"/>
          <w:szCs w:val="26"/>
        </w:rPr>
        <w:t>5. Тип відстеження</w:t>
      </w:r>
      <w:r w:rsidRPr="005545D9">
        <w:rPr>
          <w:rFonts w:ascii="Times New Roman" w:hAnsi="Times New Roman" w:cs="Times New Roman"/>
          <w:sz w:val="26"/>
          <w:szCs w:val="26"/>
        </w:rPr>
        <w:t xml:space="preserve"> – базове відстеження.</w:t>
      </w:r>
    </w:p>
    <w:p w:rsidR="00E8684B" w:rsidRPr="005545D9" w:rsidRDefault="00E8684B" w:rsidP="005318D9">
      <w:pPr>
        <w:spacing w:after="0" w:line="240" w:lineRule="auto"/>
        <w:ind w:firstLine="709"/>
        <w:jc w:val="both"/>
        <w:rPr>
          <w:rFonts w:ascii="Times New Roman" w:hAnsi="Times New Roman" w:cs="Times New Roman"/>
          <w:sz w:val="26"/>
          <w:szCs w:val="26"/>
        </w:rPr>
      </w:pPr>
    </w:p>
    <w:p w:rsidR="00E8684B" w:rsidRPr="005545D9" w:rsidRDefault="00E8684B" w:rsidP="005318D9">
      <w:pPr>
        <w:spacing w:after="0" w:line="240" w:lineRule="auto"/>
        <w:ind w:firstLine="709"/>
        <w:jc w:val="both"/>
        <w:rPr>
          <w:rFonts w:ascii="Times New Roman" w:hAnsi="Times New Roman" w:cs="Times New Roman"/>
          <w:sz w:val="26"/>
          <w:szCs w:val="26"/>
        </w:rPr>
      </w:pPr>
      <w:r w:rsidRPr="005545D9">
        <w:rPr>
          <w:rFonts w:ascii="Times New Roman" w:hAnsi="Times New Roman" w:cs="Times New Roman"/>
          <w:b/>
          <w:sz w:val="26"/>
          <w:szCs w:val="26"/>
        </w:rPr>
        <w:t>6. Метод одержання результатів відстеження</w:t>
      </w:r>
    </w:p>
    <w:p w:rsidR="00E8684B" w:rsidRPr="005545D9" w:rsidRDefault="00756881" w:rsidP="005318D9">
      <w:pPr>
        <w:spacing w:after="0" w:line="240" w:lineRule="auto"/>
        <w:ind w:firstLine="709"/>
        <w:jc w:val="both"/>
        <w:rPr>
          <w:rFonts w:ascii="Times New Roman" w:hAnsi="Times New Roman" w:cs="Times New Roman"/>
          <w:sz w:val="26"/>
          <w:szCs w:val="26"/>
        </w:rPr>
      </w:pPr>
      <w:r w:rsidRPr="005545D9">
        <w:rPr>
          <w:rFonts w:ascii="Times New Roman" w:hAnsi="Times New Roman" w:cs="Times New Roman"/>
          <w:sz w:val="26"/>
          <w:szCs w:val="26"/>
        </w:rPr>
        <w:t xml:space="preserve">Для проведення базового відстеження було використано статистичний метод. Відстеження результативності регуляторного </w:t>
      </w:r>
      <w:proofErr w:type="spellStart"/>
      <w:r w:rsidRPr="005545D9">
        <w:rPr>
          <w:rFonts w:ascii="Times New Roman" w:hAnsi="Times New Roman" w:cs="Times New Roman"/>
          <w:sz w:val="26"/>
          <w:szCs w:val="26"/>
        </w:rPr>
        <w:t>акта</w:t>
      </w:r>
      <w:proofErr w:type="spellEnd"/>
      <w:r w:rsidRPr="005545D9">
        <w:rPr>
          <w:rFonts w:ascii="Times New Roman" w:hAnsi="Times New Roman" w:cs="Times New Roman"/>
          <w:sz w:val="26"/>
          <w:szCs w:val="26"/>
        </w:rPr>
        <w:t xml:space="preserve"> проведено відповідно до фактичних надходжень до бюджету Лисичанської міської територіальної громади від платників </w:t>
      </w:r>
      <w:r w:rsidR="001B7B1E" w:rsidRPr="005545D9">
        <w:rPr>
          <w:rFonts w:ascii="Times New Roman" w:hAnsi="Times New Roman" w:cs="Times New Roman"/>
          <w:sz w:val="26"/>
          <w:szCs w:val="26"/>
        </w:rPr>
        <w:t>п</w:t>
      </w:r>
      <w:r w:rsidRPr="005545D9">
        <w:rPr>
          <w:rFonts w:ascii="Times New Roman" w:hAnsi="Times New Roman" w:cs="Times New Roman"/>
          <w:sz w:val="26"/>
          <w:szCs w:val="26"/>
        </w:rPr>
        <w:t>одатку</w:t>
      </w:r>
      <w:r w:rsidR="001B7B1E" w:rsidRPr="005545D9">
        <w:rPr>
          <w:rFonts w:ascii="Times New Roman" w:hAnsi="Times New Roman" w:cs="Times New Roman"/>
          <w:sz w:val="26"/>
          <w:szCs w:val="26"/>
        </w:rPr>
        <w:t xml:space="preserve"> на нерухоме майно, відмінне від земельної ділянки</w:t>
      </w:r>
      <w:r w:rsidRPr="005545D9">
        <w:rPr>
          <w:rFonts w:ascii="Times New Roman" w:hAnsi="Times New Roman" w:cs="Times New Roman"/>
          <w:sz w:val="26"/>
          <w:szCs w:val="26"/>
        </w:rPr>
        <w:t>.</w:t>
      </w:r>
    </w:p>
    <w:p w:rsidR="00756881" w:rsidRPr="005545D9" w:rsidRDefault="00756881" w:rsidP="005318D9">
      <w:pPr>
        <w:spacing w:after="0" w:line="240" w:lineRule="auto"/>
        <w:ind w:firstLine="709"/>
        <w:jc w:val="both"/>
        <w:rPr>
          <w:rFonts w:ascii="Times New Roman" w:hAnsi="Times New Roman" w:cs="Times New Roman"/>
          <w:b/>
          <w:sz w:val="26"/>
          <w:szCs w:val="26"/>
        </w:rPr>
      </w:pPr>
    </w:p>
    <w:p w:rsidR="00756881" w:rsidRPr="005545D9" w:rsidRDefault="00756881" w:rsidP="005318D9">
      <w:pPr>
        <w:spacing w:after="0" w:line="240" w:lineRule="auto"/>
        <w:ind w:firstLine="709"/>
        <w:jc w:val="both"/>
        <w:rPr>
          <w:rFonts w:ascii="Times New Roman" w:hAnsi="Times New Roman" w:cs="Times New Roman"/>
          <w:b/>
          <w:sz w:val="26"/>
          <w:szCs w:val="26"/>
        </w:rPr>
      </w:pPr>
      <w:r w:rsidRPr="005545D9">
        <w:rPr>
          <w:rFonts w:ascii="Times New Roman" w:hAnsi="Times New Roman" w:cs="Times New Roman"/>
          <w:b/>
          <w:sz w:val="26"/>
          <w:szCs w:val="26"/>
        </w:rPr>
        <w:t>7. Дані припущення на основі яких відстежувалися результативність, а також способи одержання інформація</w:t>
      </w:r>
    </w:p>
    <w:p w:rsidR="00756881" w:rsidRPr="005545D9" w:rsidRDefault="00756881" w:rsidP="005318D9">
      <w:pPr>
        <w:spacing w:after="0" w:line="240" w:lineRule="auto"/>
        <w:ind w:firstLine="709"/>
        <w:jc w:val="both"/>
        <w:rPr>
          <w:rFonts w:ascii="Times New Roman" w:hAnsi="Times New Roman" w:cs="Times New Roman"/>
          <w:sz w:val="26"/>
          <w:szCs w:val="26"/>
        </w:rPr>
      </w:pPr>
      <w:r w:rsidRPr="005545D9">
        <w:rPr>
          <w:rFonts w:ascii="Times New Roman" w:hAnsi="Times New Roman" w:cs="Times New Roman"/>
          <w:sz w:val="26"/>
          <w:szCs w:val="26"/>
        </w:rPr>
        <w:t xml:space="preserve">Для встановлення кількісних значень показників результативності регуляторного </w:t>
      </w:r>
      <w:proofErr w:type="spellStart"/>
      <w:r w:rsidRPr="005545D9">
        <w:rPr>
          <w:rFonts w:ascii="Times New Roman" w:hAnsi="Times New Roman" w:cs="Times New Roman"/>
          <w:sz w:val="26"/>
          <w:szCs w:val="26"/>
        </w:rPr>
        <w:t>акта</w:t>
      </w:r>
      <w:proofErr w:type="spellEnd"/>
      <w:r w:rsidRPr="005545D9">
        <w:rPr>
          <w:rFonts w:ascii="Times New Roman" w:hAnsi="Times New Roman" w:cs="Times New Roman"/>
          <w:sz w:val="26"/>
          <w:szCs w:val="26"/>
        </w:rPr>
        <w:t xml:space="preserve"> був проведений аналіз надходжень до місцевого бюджету від сплати податку </w:t>
      </w:r>
      <w:r w:rsidR="001B7B1E" w:rsidRPr="005545D9">
        <w:rPr>
          <w:rFonts w:ascii="Times New Roman" w:hAnsi="Times New Roman" w:cs="Times New Roman"/>
          <w:sz w:val="26"/>
          <w:szCs w:val="26"/>
        </w:rPr>
        <w:t xml:space="preserve">на нерухоме майно, відмінне від земельної ділянки» </w:t>
      </w:r>
      <w:r w:rsidRPr="005545D9">
        <w:rPr>
          <w:rFonts w:ascii="Times New Roman" w:hAnsi="Times New Roman" w:cs="Times New Roman"/>
          <w:sz w:val="26"/>
          <w:szCs w:val="26"/>
        </w:rPr>
        <w:t xml:space="preserve">за даними фінансового управління </w:t>
      </w:r>
      <w:r w:rsidR="00D14FCA" w:rsidRPr="005545D9">
        <w:rPr>
          <w:rFonts w:ascii="Times New Roman" w:hAnsi="Times New Roman" w:cs="Times New Roman"/>
          <w:sz w:val="26"/>
          <w:szCs w:val="26"/>
        </w:rPr>
        <w:t>Лисичанської</w:t>
      </w:r>
      <w:r w:rsidRPr="005545D9">
        <w:rPr>
          <w:rFonts w:ascii="Times New Roman" w:hAnsi="Times New Roman" w:cs="Times New Roman"/>
          <w:sz w:val="26"/>
          <w:szCs w:val="26"/>
        </w:rPr>
        <w:t xml:space="preserve"> міської ВЦА.</w:t>
      </w:r>
    </w:p>
    <w:p w:rsidR="005545D9" w:rsidRDefault="005545D9" w:rsidP="005318D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rsidR="00756881" w:rsidRPr="005545D9" w:rsidRDefault="004C3953" w:rsidP="005318D9">
      <w:pPr>
        <w:spacing w:after="0" w:line="240" w:lineRule="auto"/>
        <w:ind w:firstLine="709"/>
        <w:jc w:val="both"/>
        <w:rPr>
          <w:rFonts w:ascii="Times New Roman" w:hAnsi="Times New Roman" w:cs="Times New Roman"/>
          <w:b/>
          <w:sz w:val="26"/>
          <w:szCs w:val="26"/>
        </w:rPr>
      </w:pPr>
      <w:r w:rsidRPr="005545D9">
        <w:rPr>
          <w:rFonts w:ascii="Times New Roman" w:hAnsi="Times New Roman" w:cs="Times New Roman"/>
          <w:b/>
          <w:sz w:val="26"/>
          <w:szCs w:val="26"/>
        </w:rPr>
        <w:lastRenderedPageBreak/>
        <w:t xml:space="preserve">8. Кількісні і якісні значення показників результативності регуляторного </w:t>
      </w:r>
      <w:proofErr w:type="spellStart"/>
      <w:r w:rsidRPr="005545D9">
        <w:rPr>
          <w:rFonts w:ascii="Times New Roman" w:hAnsi="Times New Roman" w:cs="Times New Roman"/>
          <w:b/>
          <w:sz w:val="26"/>
          <w:szCs w:val="26"/>
        </w:rPr>
        <w:t>акта</w:t>
      </w:r>
      <w:proofErr w:type="spellEnd"/>
    </w:p>
    <w:p w:rsidR="004C3953" w:rsidRPr="005545D9" w:rsidRDefault="004C3953" w:rsidP="005318D9">
      <w:pPr>
        <w:spacing w:after="0" w:line="240" w:lineRule="auto"/>
        <w:ind w:firstLine="709"/>
        <w:jc w:val="both"/>
        <w:rPr>
          <w:rFonts w:ascii="Times New Roman" w:hAnsi="Times New Roman" w:cs="Times New Roman"/>
          <w:sz w:val="26"/>
          <w:szCs w:val="26"/>
        </w:rPr>
      </w:pPr>
    </w:p>
    <w:tbl>
      <w:tblPr>
        <w:tblStyle w:val="a7"/>
        <w:tblW w:w="0" w:type="auto"/>
        <w:jc w:val="center"/>
        <w:tblLook w:val="04A0" w:firstRow="1" w:lastRow="0" w:firstColumn="1" w:lastColumn="0" w:noHBand="0" w:noVBand="1"/>
      </w:tblPr>
      <w:tblGrid>
        <w:gridCol w:w="5300"/>
        <w:gridCol w:w="1676"/>
        <w:gridCol w:w="1447"/>
        <w:gridCol w:w="1431"/>
      </w:tblGrid>
      <w:tr w:rsidR="004C3953" w:rsidRPr="005545D9" w:rsidTr="005545D9">
        <w:trPr>
          <w:trHeight w:val="20"/>
          <w:jc w:val="center"/>
        </w:trPr>
        <w:tc>
          <w:tcPr>
            <w:tcW w:w="0" w:type="auto"/>
            <w:vAlign w:val="center"/>
          </w:tcPr>
          <w:p w:rsidR="004C3953" w:rsidRPr="005545D9" w:rsidRDefault="004C3953" w:rsidP="005545D9">
            <w:pPr>
              <w:jc w:val="center"/>
              <w:rPr>
                <w:sz w:val="26"/>
                <w:szCs w:val="26"/>
                <w:lang w:val="uk-UA"/>
              </w:rPr>
            </w:pPr>
            <w:r w:rsidRPr="005545D9">
              <w:rPr>
                <w:sz w:val="26"/>
                <w:szCs w:val="26"/>
                <w:lang w:val="uk-UA"/>
              </w:rPr>
              <w:t>Показники</w:t>
            </w:r>
          </w:p>
        </w:tc>
        <w:tc>
          <w:tcPr>
            <w:tcW w:w="0" w:type="auto"/>
            <w:vAlign w:val="center"/>
          </w:tcPr>
          <w:p w:rsidR="00DE5660" w:rsidRPr="005545D9" w:rsidRDefault="004C3953" w:rsidP="005545D9">
            <w:pPr>
              <w:jc w:val="center"/>
              <w:rPr>
                <w:sz w:val="26"/>
                <w:szCs w:val="26"/>
                <w:lang w:val="uk-UA"/>
              </w:rPr>
            </w:pPr>
            <w:r w:rsidRPr="005545D9">
              <w:rPr>
                <w:sz w:val="26"/>
                <w:szCs w:val="26"/>
                <w:lang w:val="uk-UA"/>
              </w:rPr>
              <w:t>Факт 2021, очікуване,</w:t>
            </w:r>
          </w:p>
          <w:p w:rsidR="004C3953" w:rsidRPr="005545D9" w:rsidRDefault="004C3953" w:rsidP="005545D9">
            <w:pPr>
              <w:jc w:val="center"/>
              <w:rPr>
                <w:sz w:val="26"/>
                <w:szCs w:val="26"/>
                <w:lang w:val="uk-UA"/>
              </w:rPr>
            </w:pPr>
            <w:r w:rsidRPr="005545D9">
              <w:rPr>
                <w:sz w:val="26"/>
                <w:szCs w:val="26"/>
                <w:lang w:val="uk-UA"/>
              </w:rPr>
              <w:t>тис. грн</w:t>
            </w:r>
          </w:p>
        </w:tc>
        <w:tc>
          <w:tcPr>
            <w:tcW w:w="0" w:type="auto"/>
            <w:vAlign w:val="center"/>
          </w:tcPr>
          <w:p w:rsidR="004C3953" w:rsidRPr="005545D9" w:rsidRDefault="004C3953" w:rsidP="005545D9">
            <w:pPr>
              <w:jc w:val="center"/>
              <w:rPr>
                <w:sz w:val="26"/>
                <w:szCs w:val="26"/>
                <w:lang w:val="uk-UA"/>
              </w:rPr>
            </w:pPr>
            <w:r w:rsidRPr="005545D9">
              <w:rPr>
                <w:sz w:val="26"/>
                <w:szCs w:val="26"/>
                <w:lang w:val="uk-UA"/>
              </w:rPr>
              <w:t>План 2022 рік , тис. грн</w:t>
            </w:r>
          </w:p>
        </w:tc>
        <w:tc>
          <w:tcPr>
            <w:tcW w:w="0" w:type="auto"/>
            <w:vAlign w:val="center"/>
          </w:tcPr>
          <w:p w:rsidR="004C3953" w:rsidRPr="005545D9" w:rsidRDefault="004C3953" w:rsidP="005545D9">
            <w:pPr>
              <w:jc w:val="center"/>
              <w:rPr>
                <w:sz w:val="26"/>
                <w:szCs w:val="26"/>
                <w:lang w:val="uk-UA"/>
              </w:rPr>
            </w:pPr>
            <w:r w:rsidRPr="005545D9">
              <w:rPr>
                <w:sz w:val="26"/>
                <w:szCs w:val="26"/>
                <w:lang w:val="uk-UA"/>
              </w:rPr>
              <w:t>План 2023 рік, тис. грн</w:t>
            </w:r>
          </w:p>
        </w:tc>
      </w:tr>
      <w:tr w:rsidR="00DE5660" w:rsidRPr="005545D9" w:rsidTr="005545D9">
        <w:trPr>
          <w:trHeight w:val="20"/>
          <w:jc w:val="center"/>
        </w:trPr>
        <w:tc>
          <w:tcPr>
            <w:tcW w:w="0" w:type="auto"/>
            <w:vAlign w:val="center"/>
          </w:tcPr>
          <w:p w:rsidR="00DE5660" w:rsidRPr="005545D9" w:rsidRDefault="00DE5660" w:rsidP="005545D9">
            <w:pPr>
              <w:jc w:val="both"/>
              <w:rPr>
                <w:b/>
                <w:sz w:val="26"/>
                <w:szCs w:val="26"/>
                <w:lang w:val="uk-UA"/>
              </w:rPr>
            </w:pPr>
            <w:r w:rsidRPr="005545D9">
              <w:rPr>
                <w:b/>
                <w:sz w:val="26"/>
                <w:szCs w:val="26"/>
                <w:lang w:val="uk-UA"/>
              </w:rPr>
              <w:t xml:space="preserve">Податок на нерухоме майно, відмінне від земельної ділянки, всього, в </w:t>
            </w:r>
            <w:proofErr w:type="spellStart"/>
            <w:r w:rsidRPr="005545D9">
              <w:rPr>
                <w:b/>
                <w:sz w:val="26"/>
                <w:szCs w:val="26"/>
                <w:lang w:val="uk-UA"/>
              </w:rPr>
              <w:t>т.ч</w:t>
            </w:r>
            <w:proofErr w:type="spellEnd"/>
            <w:r w:rsidRPr="005545D9">
              <w:rPr>
                <w:b/>
                <w:sz w:val="26"/>
                <w:szCs w:val="26"/>
                <w:lang w:val="uk-UA"/>
              </w:rPr>
              <w:t>.:</w:t>
            </w:r>
          </w:p>
        </w:tc>
        <w:tc>
          <w:tcPr>
            <w:tcW w:w="0" w:type="auto"/>
            <w:vAlign w:val="center"/>
          </w:tcPr>
          <w:p w:rsidR="00DE5660" w:rsidRPr="005545D9" w:rsidRDefault="00DE5660" w:rsidP="005545D9">
            <w:pPr>
              <w:jc w:val="center"/>
              <w:rPr>
                <w:b/>
                <w:sz w:val="26"/>
                <w:szCs w:val="26"/>
                <w:lang w:val="uk-UA"/>
              </w:rPr>
            </w:pPr>
            <w:r w:rsidRPr="005545D9">
              <w:rPr>
                <w:b/>
                <w:sz w:val="26"/>
                <w:szCs w:val="26"/>
                <w:lang w:val="uk-UA"/>
              </w:rPr>
              <w:t>2 936,2</w:t>
            </w:r>
          </w:p>
        </w:tc>
        <w:tc>
          <w:tcPr>
            <w:tcW w:w="0" w:type="auto"/>
            <w:vAlign w:val="center"/>
          </w:tcPr>
          <w:p w:rsidR="00DE5660" w:rsidRPr="005545D9" w:rsidRDefault="00DE5660" w:rsidP="005545D9">
            <w:pPr>
              <w:jc w:val="center"/>
              <w:rPr>
                <w:b/>
                <w:sz w:val="26"/>
                <w:szCs w:val="26"/>
                <w:lang w:val="uk-UA"/>
              </w:rPr>
            </w:pPr>
            <w:r w:rsidRPr="005545D9">
              <w:rPr>
                <w:b/>
                <w:sz w:val="26"/>
                <w:szCs w:val="26"/>
                <w:lang w:val="uk-UA"/>
              </w:rPr>
              <w:t>3 344,0</w:t>
            </w:r>
          </w:p>
        </w:tc>
        <w:tc>
          <w:tcPr>
            <w:tcW w:w="0" w:type="auto"/>
            <w:vAlign w:val="center"/>
          </w:tcPr>
          <w:p w:rsidR="00DE5660" w:rsidRPr="005545D9" w:rsidRDefault="00DE5660" w:rsidP="005545D9">
            <w:pPr>
              <w:jc w:val="center"/>
              <w:rPr>
                <w:b/>
                <w:sz w:val="26"/>
                <w:szCs w:val="26"/>
                <w:lang w:val="uk-UA"/>
              </w:rPr>
            </w:pPr>
            <w:r w:rsidRPr="005545D9">
              <w:rPr>
                <w:b/>
                <w:sz w:val="26"/>
                <w:szCs w:val="26"/>
                <w:lang w:val="uk-UA"/>
              </w:rPr>
              <w:t>3 435,0</w:t>
            </w:r>
          </w:p>
        </w:tc>
      </w:tr>
      <w:tr w:rsidR="00486DF8" w:rsidRPr="005545D9" w:rsidTr="005545D9">
        <w:trPr>
          <w:trHeight w:val="20"/>
          <w:jc w:val="center"/>
        </w:trPr>
        <w:tc>
          <w:tcPr>
            <w:tcW w:w="0" w:type="auto"/>
            <w:vAlign w:val="center"/>
          </w:tcPr>
          <w:p w:rsidR="00486DF8" w:rsidRPr="005545D9" w:rsidRDefault="00486DF8" w:rsidP="005545D9">
            <w:pPr>
              <w:jc w:val="both"/>
              <w:rPr>
                <w:sz w:val="26"/>
                <w:szCs w:val="26"/>
                <w:lang w:val="uk-UA"/>
              </w:rPr>
            </w:pPr>
            <w:r w:rsidRPr="005545D9">
              <w:rPr>
                <w:sz w:val="26"/>
                <w:szCs w:val="26"/>
                <w:lang w:val="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12,0</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20,0</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46,9</w:t>
            </w:r>
          </w:p>
        </w:tc>
      </w:tr>
      <w:tr w:rsidR="00486DF8" w:rsidRPr="005545D9" w:rsidTr="005545D9">
        <w:trPr>
          <w:trHeight w:val="20"/>
          <w:jc w:val="center"/>
        </w:trPr>
        <w:tc>
          <w:tcPr>
            <w:tcW w:w="0" w:type="auto"/>
            <w:vAlign w:val="center"/>
          </w:tcPr>
          <w:p w:rsidR="00486DF8" w:rsidRPr="005545D9" w:rsidRDefault="00486DF8" w:rsidP="005545D9">
            <w:pPr>
              <w:jc w:val="both"/>
              <w:rPr>
                <w:sz w:val="26"/>
                <w:szCs w:val="26"/>
                <w:lang w:val="uk-UA"/>
              </w:rPr>
            </w:pPr>
            <w:r w:rsidRPr="005545D9">
              <w:rPr>
                <w:sz w:val="26"/>
                <w:szCs w:val="26"/>
                <w:lang w:val="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810,0</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978,0</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948,1</w:t>
            </w:r>
          </w:p>
        </w:tc>
      </w:tr>
      <w:tr w:rsidR="00486DF8" w:rsidRPr="005545D9" w:rsidTr="005545D9">
        <w:trPr>
          <w:trHeight w:val="20"/>
          <w:jc w:val="center"/>
        </w:trPr>
        <w:tc>
          <w:tcPr>
            <w:tcW w:w="0" w:type="auto"/>
            <w:vAlign w:val="center"/>
          </w:tcPr>
          <w:p w:rsidR="00486DF8" w:rsidRPr="005545D9" w:rsidRDefault="00486DF8" w:rsidP="005545D9">
            <w:pPr>
              <w:jc w:val="both"/>
              <w:rPr>
                <w:sz w:val="26"/>
                <w:szCs w:val="26"/>
                <w:lang w:val="uk-UA"/>
              </w:rPr>
            </w:pPr>
            <w:r w:rsidRPr="005545D9">
              <w:rPr>
                <w:sz w:val="26"/>
                <w:szCs w:val="26"/>
                <w:lang w:val="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345,2</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397,0</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431,4</w:t>
            </w:r>
          </w:p>
        </w:tc>
      </w:tr>
      <w:tr w:rsidR="00486DF8" w:rsidRPr="005545D9" w:rsidTr="005545D9">
        <w:trPr>
          <w:trHeight w:val="20"/>
          <w:jc w:val="center"/>
        </w:trPr>
        <w:tc>
          <w:tcPr>
            <w:tcW w:w="0" w:type="auto"/>
            <w:vAlign w:val="center"/>
          </w:tcPr>
          <w:p w:rsidR="00486DF8" w:rsidRPr="005545D9" w:rsidRDefault="00486DF8" w:rsidP="005545D9">
            <w:pPr>
              <w:jc w:val="both"/>
              <w:rPr>
                <w:sz w:val="26"/>
                <w:szCs w:val="26"/>
                <w:lang w:val="uk-UA"/>
              </w:rPr>
            </w:pPr>
            <w:r w:rsidRPr="005545D9">
              <w:rPr>
                <w:sz w:val="26"/>
                <w:szCs w:val="26"/>
                <w:lang w:val="uk-UA"/>
              </w:rPr>
              <w:t xml:space="preserve">Податок на нерухоме майно, відмінне від земельної ділянки, сплачений юридичними особами, які є власниками об`єктів </w:t>
            </w:r>
            <w:proofErr w:type="spellStart"/>
            <w:r w:rsidRPr="005545D9">
              <w:rPr>
                <w:sz w:val="26"/>
                <w:szCs w:val="26"/>
                <w:lang w:val="uk-UA"/>
              </w:rPr>
              <w:t>нежит-лової</w:t>
            </w:r>
            <w:proofErr w:type="spellEnd"/>
            <w:r w:rsidRPr="005545D9">
              <w:rPr>
                <w:sz w:val="26"/>
                <w:szCs w:val="26"/>
                <w:lang w:val="uk-UA"/>
              </w:rPr>
              <w:t xml:space="preserve"> нерухомості</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1 769,0</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1 949,0</w:t>
            </w:r>
          </w:p>
        </w:tc>
        <w:tc>
          <w:tcPr>
            <w:tcW w:w="0" w:type="auto"/>
            <w:vAlign w:val="center"/>
          </w:tcPr>
          <w:p w:rsidR="00486DF8" w:rsidRPr="005545D9" w:rsidRDefault="00486DF8" w:rsidP="005545D9">
            <w:pPr>
              <w:jc w:val="center"/>
              <w:rPr>
                <w:sz w:val="26"/>
                <w:szCs w:val="26"/>
                <w:lang w:val="uk-UA"/>
              </w:rPr>
            </w:pPr>
            <w:r w:rsidRPr="005545D9">
              <w:rPr>
                <w:sz w:val="26"/>
                <w:szCs w:val="26"/>
                <w:lang w:val="uk-UA"/>
              </w:rPr>
              <w:t>2 008,6</w:t>
            </w:r>
          </w:p>
        </w:tc>
      </w:tr>
    </w:tbl>
    <w:p w:rsidR="004C3953" w:rsidRPr="005545D9" w:rsidRDefault="004C3953" w:rsidP="005318D9">
      <w:pPr>
        <w:spacing w:after="0" w:line="240" w:lineRule="auto"/>
        <w:ind w:firstLine="709"/>
        <w:jc w:val="both"/>
        <w:rPr>
          <w:rFonts w:ascii="Times New Roman" w:hAnsi="Times New Roman" w:cs="Times New Roman"/>
          <w:sz w:val="26"/>
          <w:szCs w:val="26"/>
        </w:rPr>
      </w:pPr>
    </w:p>
    <w:p w:rsidR="00486DF8" w:rsidRPr="005545D9" w:rsidRDefault="00F53ED3" w:rsidP="005318D9">
      <w:pPr>
        <w:spacing w:after="0" w:line="240" w:lineRule="auto"/>
        <w:ind w:firstLine="709"/>
        <w:jc w:val="both"/>
        <w:rPr>
          <w:rFonts w:ascii="Times New Roman" w:hAnsi="Times New Roman" w:cs="Times New Roman"/>
          <w:sz w:val="26"/>
          <w:szCs w:val="26"/>
        </w:rPr>
      </w:pPr>
      <w:r w:rsidRPr="005545D9">
        <w:rPr>
          <w:rFonts w:ascii="Times New Roman" w:hAnsi="Times New Roman" w:cs="Times New Roman"/>
          <w:sz w:val="26"/>
          <w:szCs w:val="26"/>
        </w:rPr>
        <w:t xml:space="preserve">Рівень поінформованості платників єдиного податку з основними положеннями регуляторного </w:t>
      </w:r>
      <w:proofErr w:type="spellStart"/>
      <w:r w:rsidRPr="005545D9">
        <w:rPr>
          <w:rFonts w:ascii="Times New Roman" w:hAnsi="Times New Roman" w:cs="Times New Roman"/>
          <w:sz w:val="26"/>
          <w:szCs w:val="26"/>
        </w:rPr>
        <w:t>акта</w:t>
      </w:r>
      <w:proofErr w:type="spellEnd"/>
      <w:r w:rsidRPr="005545D9">
        <w:rPr>
          <w:rFonts w:ascii="Times New Roman" w:hAnsi="Times New Roman" w:cs="Times New Roman"/>
          <w:sz w:val="26"/>
          <w:szCs w:val="26"/>
        </w:rPr>
        <w:t xml:space="preserve"> – високий.</w:t>
      </w:r>
      <w:r w:rsidR="004C3953" w:rsidRPr="005545D9">
        <w:rPr>
          <w:rFonts w:ascii="Times New Roman" w:hAnsi="Times New Roman" w:cs="Times New Roman"/>
          <w:sz w:val="26"/>
          <w:szCs w:val="26"/>
        </w:rPr>
        <w:t xml:space="preserve"> Інформація про встановлення ставок єдиного податку розміщена на офіційному сайті Лисичанської міської військово-цивільної адміністрації за </w:t>
      </w:r>
      <w:proofErr w:type="spellStart"/>
      <w:r w:rsidR="004C3953" w:rsidRPr="005545D9">
        <w:rPr>
          <w:rFonts w:ascii="Times New Roman" w:hAnsi="Times New Roman" w:cs="Times New Roman"/>
          <w:sz w:val="26"/>
          <w:szCs w:val="26"/>
        </w:rPr>
        <w:t>адресою</w:t>
      </w:r>
      <w:proofErr w:type="spellEnd"/>
      <w:r w:rsidR="004C3953" w:rsidRPr="005545D9">
        <w:rPr>
          <w:rFonts w:ascii="Times New Roman" w:hAnsi="Times New Roman" w:cs="Times New Roman"/>
          <w:sz w:val="26"/>
          <w:szCs w:val="26"/>
        </w:rPr>
        <w:t xml:space="preserve">: </w:t>
      </w:r>
      <w:hyperlink r:id="rId5" w:history="1">
        <w:r w:rsidR="00486DF8" w:rsidRPr="005545D9">
          <w:rPr>
            <w:rStyle w:val="a6"/>
            <w:rFonts w:ascii="Times New Roman" w:hAnsi="Times New Roman" w:cs="Times New Roman"/>
            <w:sz w:val="26"/>
            <w:szCs w:val="26"/>
          </w:rPr>
          <w:t>https://lis.gov.ua/mistsevi-podatki/22753-podatok-na-nerukhome-majno-vidminne-vid-zemelnoji-dilyanki.html</w:t>
        </w:r>
      </w:hyperlink>
      <w:r w:rsidR="005545D9" w:rsidRPr="005545D9">
        <w:rPr>
          <w:rStyle w:val="a6"/>
          <w:rFonts w:ascii="Times New Roman" w:hAnsi="Times New Roman" w:cs="Times New Roman"/>
          <w:sz w:val="26"/>
          <w:szCs w:val="26"/>
        </w:rPr>
        <w:t>.</w:t>
      </w:r>
    </w:p>
    <w:p w:rsidR="00486DF8" w:rsidRPr="005545D9" w:rsidRDefault="00486DF8" w:rsidP="005318D9">
      <w:pPr>
        <w:spacing w:after="0" w:line="240" w:lineRule="auto"/>
        <w:ind w:firstLine="709"/>
        <w:jc w:val="both"/>
        <w:rPr>
          <w:rFonts w:ascii="Times New Roman" w:hAnsi="Times New Roman" w:cs="Times New Roman"/>
          <w:sz w:val="26"/>
          <w:szCs w:val="26"/>
        </w:rPr>
      </w:pPr>
    </w:p>
    <w:p w:rsidR="00F53ED3" w:rsidRPr="005545D9" w:rsidRDefault="004C3953" w:rsidP="005318D9">
      <w:pPr>
        <w:spacing w:after="0" w:line="240" w:lineRule="auto"/>
        <w:ind w:firstLine="709"/>
        <w:jc w:val="both"/>
        <w:rPr>
          <w:rFonts w:ascii="Times New Roman" w:hAnsi="Times New Roman" w:cs="Times New Roman"/>
          <w:b/>
          <w:sz w:val="26"/>
          <w:szCs w:val="26"/>
        </w:rPr>
      </w:pPr>
      <w:r w:rsidRPr="005545D9">
        <w:rPr>
          <w:rFonts w:ascii="Times New Roman" w:hAnsi="Times New Roman" w:cs="Times New Roman"/>
          <w:b/>
          <w:sz w:val="26"/>
          <w:szCs w:val="26"/>
        </w:rPr>
        <w:t xml:space="preserve">9. Оцінка результативності реалізації регуляторного </w:t>
      </w:r>
      <w:proofErr w:type="spellStart"/>
      <w:r w:rsidRPr="005545D9">
        <w:rPr>
          <w:rFonts w:ascii="Times New Roman" w:hAnsi="Times New Roman" w:cs="Times New Roman"/>
          <w:b/>
          <w:sz w:val="26"/>
          <w:szCs w:val="26"/>
        </w:rPr>
        <w:t>акта</w:t>
      </w:r>
      <w:proofErr w:type="spellEnd"/>
      <w:r w:rsidRPr="005545D9">
        <w:rPr>
          <w:rFonts w:ascii="Times New Roman" w:hAnsi="Times New Roman" w:cs="Times New Roman"/>
          <w:b/>
          <w:sz w:val="26"/>
          <w:szCs w:val="26"/>
        </w:rPr>
        <w:t xml:space="preserve"> та ступеня досягнення цілей.</w:t>
      </w:r>
    </w:p>
    <w:p w:rsidR="005545D9" w:rsidRPr="005545D9" w:rsidRDefault="005545D9" w:rsidP="005545D9">
      <w:pPr>
        <w:spacing w:after="0" w:line="240" w:lineRule="auto"/>
        <w:ind w:firstLine="709"/>
        <w:jc w:val="both"/>
        <w:rPr>
          <w:rFonts w:ascii="Times New Roman" w:hAnsi="Times New Roman" w:cs="Times New Roman"/>
          <w:sz w:val="26"/>
          <w:szCs w:val="26"/>
        </w:rPr>
      </w:pPr>
      <w:r w:rsidRPr="005545D9">
        <w:rPr>
          <w:rFonts w:ascii="Times New Roman" w:hAnsi="Times New Roman" w:cs="Times New Roman"/>
          <w:sz w:val="26"/>
          <w:szCs w:val="26"/>
        </w:rPr>
        <w:t xml:space="preserve">Прийняття цього </w:t>
      </w:r>
      <w:r w:rsidRPr="005545D9">
        <w:rPr>
          <w:rFonts w:ascii="Times New Roman" w:hAnsi="Times New Roman" w:cs="Times New Roman"/>
          <w:sz w:val="26"/>
          <w:szCs w:val="26"/>
        </w:rPr>
        <w:t>розпорядження керівника Лисич</w:t>
      </w:r>
      <w:r w:rsidRPr="005545D9">
        <w:rPr>
          <w:rFonts w:ascii="Times New Roman" w:hAnsi="Times New Roman" w:cs="Times New Roman"/>
          <w:sz w:val="26"/>
          <w:szCs w:val="26"/>
        </w:rPr>
        <w:t>а</w:t>
      </w:r>
      <w:r w:rsidRPr="005545D9">
        <w:rPr>
          <w:rFonts w:ascii="Times New Roman" w:hAnsi="Times New Roman" w:cs="Times New Roman"/>
          <w:sz w:val="26"/>
          <w:szCs w:val="26"/>
        </w:rPr>
        <w:t>нської міської ВЦА</w:t>
      </w:r>
      <w:r w:rsidRPr="005545D9">
        <w:rPr>
          <w:rFonts w:ascii="Times New Roman" w:hAnsi="Times New Roman" w:cs="Times New Roman"/>
          <w:sz w:val="26"/>
          <w:szCs w:val="26"/>
        </w:rPr>
        <w:t xml:space="preserve"> дасть можливість здійснення контролю за додержанням правил розрахунку та сплати податку на нерухоме майно, відмінне від земельної ділянки, поповнити місцевий бюджет громади, що збільшить можливості міської ВЦА спрямовувати отримані кошти від сплати податку на фінансування місцевих цільових програм, на вирішення соціальних проблем територіальної громади та покращення інфраструктури громади.</w:t>
      </w:r>
    </w:p>
    <w:p w:rsidR="00C5552C" w:rsidRPr="005545D9" w:rsidRDefault="00C5552C" w:rsidP="005545D9">
      <w:pPr>
        <w:spacing w:after="0" w:line="240" w:lineRule="auto"/>
        <w:ind w:firstLine="709"/>
        <w:jc w:val="both"/>
        <w:rPr>
          <w:rFonts w:ascii="Times New Roman" w:hAnsi="Times New Roman" w:cs="Times New Roman"/>
          <w:sz w:val="26"/>
          <w:szCs w:val="26"/>
        </w:rPr>
      </w:pPr>
    </w:p>
    <w:p w:rsidR="00C5552C" w:rsidRPr="005545D9" w:rsidRDefault="00C5552C" w:rsidP="005545D9">
      <w:pPr>
        <w:spacing w:after="0" w:line="240" w:lineRule="auto"/>
        <w:ind w:firstLine="709"/>
        <w:jc w:val="both"/>
        <w:rPr>
          <w:rFonts w:ascii="Times New Roman" w:hAnsi="Times New Roman" w:cs="Times New Roman"/>
          <w:sz w:val="26"/>
          <w:szCs w:val="26"/>
        </w:rPr>
      </w:pPr>
    </w:p>
    <w:p w:rsidR="00C5552C" w:rsidRPr="005545D9" w:rsidRDefault="00C5552C" w:rsidP="005545D9">
      <w:pPr>
        <w:spacing w:after="0" w:line="240" w:lineRule="auto"/>
        <w:ind w:firstLine="709"/>
        <w:jc w:val="both"/>
        <w:rPr>
          <w:rFonts w:ascii="Times New Roman" w:hAnsi="Times New Roman" w:cs="Times New Roman"/>
          <w:sz w:val="26"/>
          <w:szCs w:val="26"/>
        </w:rPr>
      </w:pPr>
    </w:p>
    <w:p w:rsidR="00C5552C" w:rsidRPr="005545D9" w:rsidRDefault="00C5552C" w:rsidP="005545D9">
      <w:pPr>
        <w:spacing w:after="0" w:line="240" w:lineRule="auto"/>
        <w:ind w:firstLine="709"/>
        <w:jc w:val="both"/>
        <w:rPr>
          <w:rFonts w:ascii="Times New Roman" w:hAnsi="Times New Roman" w:cs="Times New Roman"/>
          <w:sz w:val="26"/>
          <w:szCs w:val="26"/>
        </w:rPr>
      </w:pPr>
    </w:p>
    <w:p w:rsidR="00C5552C" w:rsidRPr="005545D9" w:rsidRDefault="00C5552C" w:rsidP="00C5552C">
      <w:pPr>
        <w:spacing w:after="0" w:line="240" w:lineRule="auto"/>
        <w:jc w:val="both"/>
        <w:rPr>
          <w:rFonts w:ascii="Times New Roman" w:hAnsi="Times New Roman" w:cs="Times New Roman"/>
          <w:b/>
          <w:sz w:val="26"/>
          <w:szCs w:val="26"/>
        </w:rPr>
      </w:pPr>
      <w:r w:rsidRPr="005545D9">
        <w:rPr>
          <w:rFonts w:ascii="Times New Roman" w:hAnsi="Times New Roman" w:cs="Times New Roman"/>
          <w:b/>
          <w:sz w:val="26"/>
          <w:szCs w:val="26"/>
        </w:rPr>
        <w:t xml:space="preserve">Заступник керівника </w:t>
      </w:r>
    </w:p>
    <w:p w:rsidR="00C5552C" w:rsidRPr="005545D9" w:rsidRDefault="00C5552C" w:rsidP="00C5552C">
      <w:pPr>
        <w:tabs>
          <w:tab w:val="left" w:pos="7655"/>
        </w:tabs>
        <w:spacing w:after="0" w:line="240" w:lineRule="auto"/>
        <w:jc w:val="both"/>
        <w:rPr>
          <w:rFonts w:ascii="Times New Roman" w:hAnsi="Times New Roman" w:cs="Times New Roman"/>
          <w:b/>
          <w:sz w:val="26"/>
          <w:szCs w:val="26"/>
        </w:rPr>
      </w:pPr>
      <w:r w:rsidRPr="005545D9">
        <w:rPr>
          <w:rFonts w:ascii="Times New Roman" w:hAnsi="Times New Roman" w:cs="Times New Roman"/>
          <w:b/>
          <w:sz w:val="26"/>
          <w:szCs w:val="26"/>
        </w:rPr>
        <w:t>Лисичанської міської ВЦА</w:t>
      </w:r>
      <w:r w:rsidRPr="005545D9">
        <w:rPr>
          <w:rFonts w:ascii="Times New Roman" w:hAnsi="Times New Roman" w:cs="Times New Roman"/>
          <w:b/>
          <w:sz w:val="26"/>
          <w:szCs w:val="26"/>
        </w:rPr>
        <w:tab/>
        <w:t>Олег КАЛІНІН</w:t>
      </w:r>
    </w:p>
    <w:p w:rsidR="00C5552C" w:rsidRPr="005545D9" w:rsidRDefault="00C5552C" w:rsidP="00C5552C">
      <w:pPr>
        <w:spacing w:after="0" w:line="240" w:lineRule="auto"/>
        <w:jc w:val="both"/>
        <w:rPr>
          <w:rFonts w:ascii="Times New Roman" w:hAnsi="Times New Roman" w:cs="Times New Roman"/>
          <w:b/>
          <w:sz w:val="26"/>
          <w:szCs w:val="26"/>
        </w:rPr>
      </w:pPr>
    </w:p>
    <w:p w:rsidR="00C5552C" w:rsidRPr="005545D9" w:rsidRDefault="00C5552C" w:rsidP="00C5552C">
      <w:pPr>
        <w:spacing w:after="0" w:line="240" w:lineRule="auto"/>
        <w:jc w:val="both"/>
        <w:rPr>
          <w:rFonts w:ascii="Times New Roman" w:hAnsi="Times New Roman" w:cs="Times New Roman"/>
          <w:b/>
          <w:sz w:val="26"/>
          <w:szCs w:val="26"/>
        </w:rPr>
      </w:pPr>
      <w:r w:rsidRPr="005545D9">
        <w:rPr>
          <w:rFonts w:ascii="Times New Roman" w:hAnsi="Times New Roman" w:cs="Times New Roman"/>
          <w:b/>
          <w:sz w:val="26"/>
          <w:szCs w:val="26"/>
        </w:rPr>
        <w:t>Начальник відділу економіки</w:t>
      </w:r>
    </w:p>
    <w:p w:rsidR="00C5552C" w:rsidRPr="005545D9" w:rsidRDefault="00C5552C" w:rsidP="005545D9">
      <w:pPr>
        <w:tabs>
          <w:tab w:val="left" w:pos="6663"/>
        </w:tabs>
        <w:spacing w:after="0" w:line="240" w:lineRule="auto"/>
        <w:jc w:val="both"/>
        <w:rPr>
          <w:rFonts w:ascii="Times New Roman" w:hAnsi="Times New Roman" w:cs="Times New Roman"/>
          <w:b/>
          <w:sz w:val="26"/>
          <w:szCs w:val="26"/>
        </w:rPr>
      </w:pPr>
      <w:r w:rsidRPr="005545D9">
        <w:rPr>
          <w:rFonts w:ascii="Times New Roman" w:hAnsi="Times New Roman" w:cs="Times New Roman"/>
          <w:b/>
          <w:sz w:val="26"/>
          <w:szCs w:val="26"/>
        </w:rPr>
        <w:t>Лисичанської міської ВЦА</w:t>
      </w:r>
      <w:r w:rsidRPr="005545D9">
        <w:rPr>
          <w:rFonts w:ascii="Times New Roman" w:hAnsi="Times New Roman" w:cs="Times New Roman"/>
          <w:b/>
          <w:sz w:val="26"/>
          <w:szCs w:val="26"/>
        </w:rPr>
        <w:tab/>
      </w:r>
      <w:bookmarkStart w:id="0" w:name="_GoBack"/>
      <w:bookmarkEnd w:id="0"/>
      <w:r w:rsidRPr="005545D9">
        <w:rPr>
          <w:rFonts w:ascii="Times New Roman" w:hAnsi="Times New Roman" w:cs="Times New Roman"/>
          <w:b/>
          <w:sz w:val="26"/>
          <w:szCs w:val="26"/>
        </w:rPr>
        <w:t>Олександр МОРДАСОВ</w:t>
      </w:r>
    </w:p>
    <w:sectPr w:rsidR="00C5552C" w:rsidRPr="005545D9" w:rsidSect="00537D4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46"/>
    <w:rsid w:val="00151A1B"/>
    <w:rsid w:val="00160117"/>
    <w:rsid w:val="001B7B1E"/>
    <w:rsid w:val="003C7D16"/>
    <w:rsid w:val="00486DF8"/>
    <w:rsid w:val="004C3953"/>
    <w:rsid w:val="005318D9"/>
    <w:rsid w:val="00537D46"/>
    <w:rsid w:val="005545D9"/>
    <w:rsid w:val="00756881"/>
    <w:rsid w:val="00823EA0"/>
    <w:rsid w:val="009C21BB"/>
    <w:rsid w:val="00C5552C"/>
    <w:rsid w:val="00D14FCA"/>
    <w:rsid w:val="00DE5660"/>
    <w:rsid w:val="00E8684B"/>
    <w:rsid w:val="00F53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D46"/>
    <w:pPr>
      <w:ind w:left="720"/>
      <w:contextualSpacing/>
    </w:pPr>
  </w:style>
  <w:style w:type="paragraph" w:styleId="a4">
    <w:name w:val="Body Text"/>
    <w:basedOn w:val="a"/>
    <w:link w:val="a5"/>
    <w:rsid w:val="00E8684B"/>
    <w:pPr>
      <w:spacing w:after="120" w:line="240" w:lineRule="auto"/>
    </w:pPr>
    <w:rPr>
      <w:rFonts w:ascii="Times New Roman" w:eastAsia="SimSun" w:hAnsi="Times New Roman" w:cs="Times New Roman"/>
      <w:sz w:val="28"/>
      <w:szCs w:val="28"/>
      <w:lang w:eastAsia="uk-UA"/>
    </w:rPr>
  </w:style>
  <w:style w:type="character" w:customStyle="1" w:styleId="a5">
    <w:name w:val="Основной текст Знак"/>
    <w:basedOn w:val="a0"/>
    <w:link w:val="a4"/>
    <w:rsid w:val="00E8684B"/>
    <w:rPr>
      <w:rFonts w:ascii="Times New Roman" w:eastAsia="SimSun" w:hAnsi="Times New Roman" w:cs="Times New Roman"/>
      <w:sz w:val="28"/>
      <w:szCs w:val="28"/>
      <w:lang w:eastAsia="uk-UA"/>
    </w:rPr>
  </w:style>
  <w:style w:type="character" w:styleId="a6">
    <w:name w:val="Hyperlink"/>
    <w:basedOn w:val="a0"/>
    <w:uiPriority w:val="99"/>
    <w:unhideWhenUsed/>
    <w:rsid w:val="004C3953"/>
    <w:rPr>
      <w:color w:val="0000FF" w:themeColor="hyperlink"/>
      <w:u w:val="single"/>
    </w:rPr>
  </w:style>
  <w:style w:type="table" w:styleId="a7">
    <w:name w:val="Table Grid"/>
    <w:basedOn w:val="a1"/>
    <w:rsid w:val="004C395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D46"/>
    <w:pPr>
      <w:ind w:left="720"/>
      <w:contextualSpacing/>
    </w:pPr>
  </w:style>
  <w:style w:type="paragraph" w:styleId="a4">
    <w:name w:val="Body Text"/>
    <w:basedOn w:val="a"/>
    <w:link w:val="a5"/>
    <w:rsid w:val="00E8684B"/>
    <w:pPr>
      <w:spacing w:after="120" w:line="240" w:lineRule="auto"/>
    </w:pPr>
    <w:rPr>
      <w:rFonts w:ascii="Times New Roman" w:eastAsia="SimSun" w:hAnsi="Times New Roman" w:cs="Times New Roman"/>
      <w:sz w:val="28"/>
      <w:szCs w:val="28"/>
      <w:lang w:eastAsia="uk-UA"/>
    </w:rPr>
  </w:style>
  <w:style w:type="character" w:customStyle="1" w:styleId="a5">
    <w:name w:val="Основной текст Знак"/>
    <w:basedOn w:val="a0"/>
    <w:link w:val="a4"/>
    <w:rsid w:val="00E8684B"/>
    <w:rPr>
      <w:rFonts w:ascii="Times New Roman" w:eastAsia="SimSun" w:hAnsi="Times New Roman" w:cs="Times New Roman"/>
      <w:sz w:val="28"/>
      <w:szCs w:val="28"/>
      <w:lang w:eastAsia="uk-UA"/>
    </w:rPr>
  </w:style>
  <w:style w:type="character" w:styleId="a6">
    <w:name w:val="Hyperlink"/>
    <w:basedOn w:val="a0"/>
    <w:uiPriority w:val="99"/>
    <w:unhideWhenUsed/>
    <w:rsid w:val="004C3953"/>
    <w:rPr>
      <w:color w:val="0000FF" w:themeColor="hyperlink"/>
      <w:u w:val="single"/>
    </w:rPr>
  </w:style>
  <w:style w:type="table" w:styleId="a7">
    <w:name w:val="Table Grid"/>
    <w:basedOn w:val="a1"/>
    <w:rsid w:val="004C395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s.gov.ua/mistsevi-podatki/22753-podatok-na-nerukhome-majno-vidminne-vid-zemelnoji-dilyan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2561</Words>
  <Characters>1460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7</cp:revision>
  <cp:lastPrinted>2021-12-28T08:40:00Z</cp:lastPrinted>
  <dcterms:created xsi:type="dcterms:W3CDTF">2021-12-28T06:22:00Z</dcterms:created>
  <dcterms:modified xsi:type="dcterms:W3CDTF">2021-12-28T11:31:00Z</dcterms:modified>
</cp:coreProperties>
</file>